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82BE" w14:textId="77777777" w:rsidR="00A16313" w:rsidRPr="009D00EB" w:rsidRDefault="00A16313" w:rsidP="000049D8">
      <w:pPr>
        <w:pStyle w:val="Header"/>
        <w:tabs>
          <w:tab w:val="clear" w:pos="9639"/>
          <w:tab w:val="right" w:pos="5954"/>
        </w:tabs>
        <w:spacing w:after="240"/>
        <w:jc w:val="right"/>
        <w:rPr>
          <w:rFonts w:ascii="Calibri" w:hAnsi="Calibri"/>
        </w:rPr>
      </w:pPr>
    </w:p>
    <w:p w14:paraId="2F5302FD" w14:textId="274004C7" w:rsidR="00420A38" w:rsidRPr="009D00EB" w:rsidRDefault="00420A38" w:rsidP="000049D8">
      <w:pPr>
        <w:pStyle w:val="Header"/>
        <w:tabs>
          <w:tab w:val="clear" w:pos="9639"/>
          <w:tab w:val="right" w:pos="5954"/>
        </w:tabs>
        <w:spacing w:after="240"/>
        <w:jc w:val="right"/>
        <w:rPr>
          <w:rFonts w:ascii="Calibri" w:hAnsi="Calibri"/>
          <w:lang w:eastAsia="ko-KR"/>
        </w:rPr>
      </w:pPr>
      <w:r w:rsidRPr="009D00EB">
        <w:rPr>
          <w:rFonts w:ascii="Calibri" w:hAnsi="Calibri"/>
        </w:rPr>
        <w:t>Input paper</w:t>
      </w:r>
      <w:r w:rsidR="00037DF4" w:rsidRPr="009D00EB">
        <w:rPr>
          <w:rFonts w:ascii="Calibri" w:hAnsi="Calibri"/>
        </w:rPr>
        <w:t>:</w:t>
      </w:r>
      <w:r w:rsidR="000049D8" w:rsidRPr="009D00EB">
        <w:rPr>
          <w:rFonts w:ascii="Calibri" w:hAnsi="Calibri"/>
        </w:rPr>
        <w:t xml:space="preserve"> </w:t>
      </w:r>
      <w:r w:rsidR="00192589">
        <w:rPr>
          <w:rFonts w:ascii="Calibri" w:hAnsi="Calibri"/>
          <w:lang w:eastAsia="ko-KR"/>
        </w:rPr>
        <w:t>DTEC6-</w:t>
      </w:r>
      <w:r w:rsidR="00033AEF">
        <w:rPr>
          <w:rFonts w:ascii="Calibri" w:hAnsi="Calibri"/>
          <w:lang w:eastAsia="ko-KR"/>
        </w:rPr>
        <w:t>3.1.4.1</w:t>
      </w:r>
    </w:p>
    <w:p w14:paraId="22E94D0E" w14:textId="77777777" w:rsidR="00D019CE" w:rsidRPr="009D00EB" w:rsidRDefault="00D019CE" w:rsidP="0019511F">
      <w:pPr>
        <w:pStyle w:val="BodyText"/>
      </w:pPr>
    </w:p>
    <w:p w14:paraId="370CFB53" w14:textId="0056C39C" w:rsidR="0080294B" w:rsidRPr="009D00EB" w:rsidRDefault="00E558C3" w:rsidP="0019511F">
      <w:pPr>
        <w:pStyle w:val="BodyText"/>
      </w:pPr>
      <w:r w:rsidRPr="009D00EB">
        <w:t xml:space="preserve">Input paper for the following Committee(s): </w:t>
      </w:r>
      <w:r w:rsidRPr="009D00EB">
        <w:tab/>
      </w:r>
      <w:r w:rsidRPr="009D00EB">
        <w:rPr>
          <w:sz w:val="18"/>
          <w:szCs w:val="18"/>
        </w:rPr>
        <w:t>check as appropriate</w:t>
      </w:r>
      <w:r w:rsidRPr="009D00EB">
        <w:rPr>
          <w:sz w:val="18"/>
          <w:szCs w:val="18"/>
        </w:rPr>
        <w:tab/>
      </w:r>
      <w:r w:rsidRPr="009D00EB">
        <w:tab/>
        <w:t>Purpose of paper:</w:t>
      </w:r>
    </w:p>
    <w:p w14:paraId="78786733" w14:textId="704F1F97" w:rsidR="0080294B" w:rsidRPr="009D00EB" w:rsidRDefault="00931BF8" w:rsidP="0019511F">
      <w:pPr>
        <w:pStyle w:val="BodyText"/>
        <w:rPr>
          <w:b/>
        </w:rPr>
      </w:pPr>
      <w:r w:rsidRPr="009D00EB">
        <w:rPr>
          <w:b/>
        </w:rPr>
        <w:t>X</w:t>
      </w:r>
      <w:r w:rsidR="0080294B" w:rsidRPr="009D00EB">
        <w:t xml:space="preserve">  ARM</w:t>
      </w:r>
      <w:r w:rsidR="00037DF4" w:rsidRPr="009D00EB">
        <w:tab/>
      </w:r>
      <w:r w:rsidRPr="009D00EB">
        <w:tab/>
      </w:r>
      <w:r w:rsidRPr="009D00EB">
        <w:rPr>
          <w:b/>
        </w:rPr>
        <w:t>X</w:t>
      </w:r>
      <w:r w:rsidR="0080294B" w:rsidRPr="009D00EB">
        <w:t xml:space="preserve">  ENG</w:t>
      </w:r>
      <w:r w:rsidR="0080294B" w:rsidRPr="009D00EB">
        <w:tab/>
      </w:r>
      <w:r w:rsidR="0080294B" w:rsidRPr="009D00EB">
        <w:tab/>
      </w:r>
      <w:r w:rsidRPr="009D00EB">
        <w:rPr>
          <w:rFonts w:hint="eastAsia"/>
          <w:b/>
        </w:rPr>
        <w:t>□</w:t>
      </w:r>
      <w:r w:rsidR="0080294B" w:rsidRPr="009D00EB">
        <w:t xml:space="preserve">  PAP</w:t>
      </w:r>
      <w:r w:rsidR="0080294B" w:rsidRPr="009D00EB">
        <w:tab/>
      </w:r>
      <w:r w:rsidR="0080294B" w:rsidRPr="009D00EB">
        <w:tab/>
      </w:r>
      <w:r w:rsidR="00037DF4" w:rsidRPr="009D00EB">
        <w:tab/>
      </w:r>
      <w:r w:rsidR="00037DF4" w:rsidRPr="009D00EB">
        <w:tab/>
      </w:r>
      <w:r w:rsidR="00037DF4" w:rsidRPr="009D00EB">
        <w:tab/>
      </w:r>
      <w:r w:rsidR="00501010" w:rsidRPr="009D00EB">
        <w:rPr>
          <w:b/>
        </w:rPr>
        <w:t>X</w:t>
      </w:r>
      <w:r w:rsidR="0080294B" w:rsidRPr="009D00EB">
        <w:t xml:space="preserve">  Input</w:t>
      </w:r>
    </w:p>
    <w:p w14:paraId="0BC79547" w14:textId="3EA58E41" w:rsidR="0080294B" w:rsidRPr="009D00EB" w:rsidRDefault="00931BF8" w:rsidP="0019511F">
      <w:pPr>
        <w:pStyle w:val="BodyText"/>
      </w:pPr>
      <w:r w:rsidRPr="009D00EB">
        <w:rPr>
          <w:b/>
        </w:rPr>
        <w:t>X</w:t>
      </w:r>
      <w:r w:rsidR="0080294B" w:rsidRPr="009D00EB">
        <w:t xml:space="preserve">  ENAV</w:t>
      </w:r>
      <w:r w:rsidR="0080294B" w:rsidRPr="009D00EB">
        <w:rPr>
          <w:b/>
        </w:rPr>
        <w:tab/>
      </w:r>
      <w:r w:rsidRPr="009D00EB">
        <w:rPr>
          <w:b/>
        </w:rPr>
        <w:t>X</w:t>
      </w:r>
      <w:r w:rsidR="0080294B" w:rsidRPr="009D00EB">
        <w:t xml:space="preserve">  </w:t>
      </w:r>
      <w:r w:rsidR="003D2DC1" w:rsidRPr="009D00EB">
        <w:t>VTS</w:t>
      </w:r>
      <w:r w:rsidR="0080294B" w:rsidRPr="009D00EB">
        <w:tab/>
      </w:r>
      <w:r w:rsidR="0080294B" w:rsidRPr="009D00EB">
        <w:tab/>
      </w:r>
      <w:r w:rsidR="0080294B" w:rsidRPr="009D00EB">
        <w:tab/>
      </w:r>
      <w:r w:rsidR="0080294B" w:rsidRPr="009D00EB">
        <w:tab/>
      </w:r>
      <w:r w:rsidR="0080294B" w:rsidRPr="009D00EB">
        <w:tab/>
      </w:r>
      <w:r w:rsidR="00037DF4" w:rsidRPr="009D00EB">
        <w:tab/>
      </w:r>
      <w:r w:rsidR="00037DF4" w:rsidRPr="009D00EB">
        <w:tab/>
      </w:r>
      <w:r w:rsidR="00501010" w:rsidRPr="009D00EB">
        <w:rPr>
          <w:rFonts w:hint="eastAsia"/>
          <w:b/>
        </w:rPr>
        <w:t>□</w:t>
      </w:r>
      <w:r w:rsidR="0080294B" w:rsidRPr="009D00EB">
        <w:t xml:space="preserve">  Information</w:t>
      </w:r>
    </w:p>
    <w:p w14:paraId="3E1C02C4" w14:textId="77777777" w:rsidR="0080294B" w:rsidRPr="009D00EB" w:rsidRDefault="0080294B" w:rsidP="0019511F">
      <w:pPr>
        <w:pStyle w:val="BodyText"/>
      </w:pPr>
    </w:p>
    <w:p w14:paraId="4DD25FD9" w14:textId="324D4C1F" w:rsidR="00A446C9" w:rsidRPr="009D00EB" w:rsidRDefault="00A446C9" w:rsidP="0019511F">
      <w:pPr>
        <w:pStyle w:val="BodyText"/>
      </w:pPr>
      <w:r w:rsidRPr="009D00EB">
        <w:t>Agenda item</w:t>
      </w:r>
      <w:r w:rsidR="001C44A3" w:rsidRPr="009D00EB">
        <w:tab/>
      </w:r>
      <w:r w:rsidR="0080294B" w:rsidRPr="009D00EB">
        <w:tab/>
      </w:r>
      <w:r w:rsidR="0080294B" w:rsidRPr="009D00EB">
        <w:tab/>
      </w:r>
    </w:p>
    <w:p w14:paraId="01FC5420" w14:textId="5B6664F3" w:rsidR="00362CD9" w:rsidRPr="009D00EB" w:rsidRDefault="00362CD9" w:rsidP="0019511F">
      <w:pPr>
        <w:pStyle w:val="BodyText"/>
        <w:rPr>
          <w:color w:val="FF0000"/>
        </w:rPr>
      </w:pPr>
      <w:r w:rsidRPr="009D00EB">
        <w:t>Author(s)</w:t>
      </w:r>
      <w:r w:rsidR="00FE5674" w:rsidRPr="009D00EB">
        <w:t xml:space="preserve"> / Submitter(s)</w:t>
      </w:r>
      <w:r w:rsidRPr="009D00EB">
        <w:tab/>
      </w:r>
      <w:r w:rsidR="0080294B" w:rsidRPr="009D00EB">
        <w:tab/>
      </w:r>
      <w:r w:rsidR="00501010" w:rsidRPr="009D00EB">
        <w:t>Alwyn Williams, ENG Committee Chair</w:t>
      </w:r>
    </w:p>
    <w:p w14:paraId="752DF31C" w14:textId="77777777" w:rsidR="0003196C" w:rsidRPr="009D00EB" w:rsidRDefault="0003196C" w:rsidP="00A446C9">
      <w:pPr>
        <w:pStyle w:val="Title"/>
        <w:rPr>
          <w:rFonts w:ascii="Calibri" w:hAnsi="Calibri"/>
          <w:color w:val="0070C0"/>
        </w:rPr>
      </w:pPr>
    </w:p>
    <w:p w14:paraId="4834080C" w14:textId="11717B31" w:rsidR="00A446C9" w:rsidRPr="009D00EB" w:rsidRDefault="00501010" w:rsidP="00A446C9">
      <w:pPr>
        <w:pStyle w:val="Title"/>
        <w:rPr>
          <w:rFonts w:ascii="Calibri" w:hAnsi="Calibri"/>
          <w:color w:val="0070C0"/>
          <w:lang w:eastAsia="ko-KR"/>
        </w:rPr>
      </w:pPr>
      <w:r w:rsidRPr="009D00EB">
        <w:rPr>
          <w:rFonts w:ascii="Calibri" w:hAnsi="Calibri"/>
          <w:color w:val="0070C0"/>
        </w:rPr>
        <w:t>Progressing on Sustainability Matters within IALA</w:t>
      </w:r>
      <w:r w:rsidR="006004A3" w:rsidRPr="009D00EB">
        <w:rPr>
          <w:rFonts w:ascii="Calibri" w:hAnsi="Calibri"/>
          <w:color w:val="0070C0"/>
        </w:rPr>
        <w:t xml:space="preserve"> </w:t>
      </w:r>
      <w:r w:rsidR="00D25961">
        <w:rPr>
          <w:rFonts w:ascii="Calibri" w:hAnsi="Calibri"/>
          <w:color w:val="0070C0"/>
        </w:rPr>
        <w:t>and</w:t>
      </w:r>
      <w:r w:rsidR="006004A3" w:rsidRPr="009D00EB">
        <w:rPr>
          <w:rFonts w:ascii="Calibri" w:hAnsi="Calibri"/>
          <w:color w:val="0070C0"/>
        </w:rPr>
        <w:t xml:space="preserve"> Advance Notice of New </w:t>
      </w:r>
      <w:r w:rsidR="00D25961">
        <w:rPr>
          <w:rFonts w:ascii="Calibri" w:hAnsi="Calibri"/>
          <w:color w:val="0070C0"/>
        </w:rPr>
        <w:t xml:space="preserve">Sustainability </w:t>
      </w:r>
      <w:r w:rsidR="006004A3" w:rsidRPr="009D00EB">
        <w:rPr>
          <w:rFonts w:ascii="Calibri" w:hAnsi="Calibri"/>
          <w:color w:val="0070C0"/>
        </w:rPr>
        <w:t>Working Group in the ENG Committee</w:t>
      </w:r>
    </w:p>
    <w:p w14:paraId="0F258596" w14:textId="7FCEB930" w:rsidR="00A446C9" w:rsidRPr="009D00EB" w:rsidRDefault="00394293" w:rsidP="00605E43">
      <w:pPr>
        <w:pStyle w:val="Heading1"/>
      </w:pPr>
      <w:r w:rsidRPr="009D00EB">
        <w:t>Introduction</w:t>
      </w:r>
    </w:p>
    <w:p w14:paraId="6487960C" w14:textId="13C2CF3A" w:rsidR="00DA054B" w:rsidRPr="009D00EB" w:rsidRDefault="00501010" w:rsidP="00DA054B">
      <w:pPr>
        <w:pStyle w:val="BodyText"/>
      </w:pPr>
      <w:r w:rsidRPr="009D00EB">
        <w:t xml:space="preserve">This paper outlines </w:t>
      </w:r>
      <w:r w:rsidR="001C797E">
        <w:t xml:space="preserve">the framework </w:t>
      </w:r>
      <w:r w:rsidRPr="009D00EB">
        <w:t>to progress on sustainability matters within IALA, following the success of the IALA Sustainability Workshop</w:t>
      </w:r>
      <w:r w:rsidR="008E2650" w:rsidRPr="009D00EB">
        <w:t xml:space="preserve"> in Dun Laoghaire, Ireland</w:t>
      </w:r>
      <w:r w:rsidR="002A5FD0" w:rsidRPr="009D00EB">
        <w:t>,</w:t>
      </w:r>
      <w:r w:rsidR="008E2650" w:rsidRPr="009D00EB">
        <w:t xml:space="preserve"> in October 2025. </w:t>
      </w:r>
    </w:p>
    <w:p w14:paraId="4AEFDFE2" w14:textId="21D84639" w:rsidR="008E2650" w:rsidRPr="009D00EB" w:rsidRDefault="00DA054B" w:rsidP="0019511F">
      <w:pPr>
        <w:pStyle w:val="BodyText"/>
      </w:pPr>
      <w:r w:rsidRPr="009D00EB">
        <w:t xml:space="preserve">The </w:t>
      </w:r>
      <w:r w:rsidR="00931BF8" w:rsidRPr="009D00EB">
        <w:t>report</w:t>
      </w:r>
      <w:r w:rsidR="008E2650" w:rsidRPr="009D00EB">
        <w:t xml:space="preserve"> of the workshop </w:t>
      </w:r>
      <w:r w:rsidR="00931BF8" w:rsidRPr="009D00EB">
        <w:t>is</w:t>
      </w:r>
      <w:r w:rsidR="008E2650" w:rsidRPr="009D00EB">
        <w:t xml:space="preserve"> provided in a separate paper from the Secretariat and will not be the focus here. </w:t>
      </w:r>
      <w:r w:rsidRPr="009D00EB">
        <w:t>However, it is noted that t</w:t>
      </w:r>
      <w:r w:rsidR="008E2650" w:rsidRPr="009D00EB">
        <w:t xml:space="preserve">he workshop </w:t>
      </w:r>
      <w:r w:rsidR="00EF78D7" w:rsidRPr="009D00EB">
        <w:t>identified five conclusions:</w:t>
      </w:r>
    </w:p>
    <w:p w14:paraId="33CA65D5" w14:textId="77777777" w:rsidR="00057C48" w:rsidRPr="009D00EB" w:rsidRDefault="00057C48" w:rsidP="0019511F">
      <w:pPr>
        <w:pStyle w:val="BodyText"/>
        <w:numPr>
          <w:ilvl w:val="0"/>
          <w:numId w:val="24"/>
        </w:numPr>
      </w:pPr>
      <w:r w:rsidRPr="009D00EB">
        <w:t>The UN Sustainable Development Goals (UNSDG) remain relevant as guiding principles for sustainability, and IALA and its members should focus on the most relevant goals to the marine AtoN and VTS community. IALA should consider revising Recommendation R1004 and other relevant publications with this in mind.</w:t>
      </w:r>
    </w:p>
    <w:p w14:paraId="0070BB4E" w14:textId="77777777" w:rsidR="00057C48" w:rsidRPr="009D00EB" w:rsidRDefault="00057C48" w:rsidP="00057C48">
      <w:pPr>
        <w:pStyle w:val="ListParagraph"/>
        <w:numPr>
          <w:ilvl w:val="0"/>
          <w:numId w:val="24"/>
        </w:numPr>
        <w:spacing w:before="120" w:after="160" w:line="256" w:lineRule="auto"/>
        <w:jc w:val="both"/>
        <w:rPr>
          <w:rFonts w:asciiTheme="minorHAnsi" w:hAnsiTheme="minorHAnsi" w:cstheme="minorHAnsi"/>
        </w:rPr>
      </w:pPr>
      <w:r w:rsidRPr="009D00EB">
        <w:rPr>
          <w:rFonts w:asciiTheme="minorHAnsi" w:hAnsiTheme="minorHAnsi" w:cstheme="minorHAnsi"/>
        </w:rPr>
        <w:t>Climate scientists have demonstrated that climate change presents one of the biggest threats to quality of life on Earth, and that all IALA members should do everything possible within their remit to minimise human impact on this.</w:t>
      </w:r>
    </w:p>
    <w:p w14:paraId="100D30B8" w14:textId="77777777" w:rsidR="00057C48" w:rsidRPr="009D00EB" w:rsidRDefault="00057C48" w:rsidP="0019511F">
      <w:pPr>
        <w:pStyle w:val="BodyText"/>
        <w:numPr>
          <w:ilvl w:val="0"/>
          <w:numId w:val="24"/>
        </w:numPr>
      </w:pPr>
      <w:r w:rsidRPr="009D00EB">
        <w:t>The IALA World-Wide Academy should continue to promote training and capacity building initiatives to ensure that the AtoN and VTS operations use qualified and competent personnel, including the development of relevant skills for sustainable operations.</w:t>
      </w:r>
    </w:p>
    <w:p w14:paraId="7A62033E" w14:textId="7783A2E5" w:rsidR="00EF78D7" w:rsidRPr="009D00EB" w:rsidRDefault="00EF78D7" w:rsidP="0019511F">
      <w:pPr>
        <w:pStyle w:val="BodyText"/>
        <w:numPr>
          <w:ilvl w:val="0"/>
          <w:numId w:val="24"/>
        </w:numPr>
      </w:pPr>
      <w:r w:rsidRPr="009D00EB">
        <w:t>IALA should develop and promote a sustainability public document based on the discussions and output of this workshop. This is to ensure that sustainable practices are encouraged and supported in the IALA community and beyond, including the future revision of IALA’s Strategic Vision.</w:t>
      </w:r>
    </w:p>
    <w:p w14:paraId="543569F7" w14:textId="24A90923" w:rsidR="00EF78D7" w:rsidRPr="009D00EB" w:rsidRDefault="00EF78D7" w:rsidP="0019511F">
      <w:pPr>
        <w:pStyle w:val="BodyText"/>
        <w:numPr>
          <w:ilvl w:val="0"/>
          <w:numId w:val="24"/>
        </w:numPr>
      </w:pPr>
      <w:r w:rsidRPr="009D00EB">
        <w:t>IALA should continue to facilitate the sharing of experiences, collaboration, and practical application on sustainability matters through IALA events.</w:t>
      </w:r>
    </w:p>
    <w:p w14:paraId="05AAA1BA" w14:textId="63B7CE7A" w:rsidR="00CF517D" w:rsidRPr="009D00EB" w:rsidRDefault="00057C48" w:rsidP="0019511F">
      <w:pPr>
        <w:pStyle w:val="BodyText"/>
      </w:pPr>
      <w:r w:rsidRPr="009D00EB">
        <w:t xml:space="preserve">This paper deals with the last two conclusions. </w:t>
      </w:r>
      <w:r w:rsidR="00CF517D" w:rsidRPr="009D00EB">
        <w:t xml:space="preserve">In summary, the workshop, and its conclusions, highlighted the desire to bring sustainability matters to a wider IALA audience. There </w:t>
      </w:r>
      <w:r w:rsidR="0087057E">
        <w:t>is</w:t>
      </w:r>
      <w:r w:rsidR="0087057E" w:rsidRPr="009D00EB">
        <w:t xml:space="preserve"> </w:t>
      </w:r>
      <w:r w:rsidR="00CF517D" w:rsidRPr="009D00EB">
        <w:t>a wide range of topics that cross all committees to consider and these need to be managed in a transparent and efficient way. In addition to this, a public document is desired to reinforce IALA members’ resolve to deal with sustainability matters within IALA’s remit for the long term.</w:t>
      </w:r>
    </w:p>
    <w:p w14:paraId="617C3F74" w14:textId="1E55CDF2" w:rsidR="00555783" w:rsidRPr="009D00EB" w:rsidRDefault="005B1E24" w:rsidP="00605E43">
      <w:pPr>
        <w:pStyle w:val="Heading1"/>
      </w:pPr>
      <w:r w:rsidRPr="009D00EB">
        <w:lastRenderedPageBreak/>
        <w:t>Discussion</w:t>
      </w:r>
    </w:p>
    <w:p w14:paraId="313A9DDA" w14:textId="7548940C" w:rsidR="0019511F" w:rsidRPr="009D00EB" w:rsidRDefault="0019511F" w:rsidP="0019511F">
      <w:pPr>
        <w:pStyle w:val="BodyText"/>
      </w:pPr>
      <w:r w:rsidRPr="009D00EB">
        <w:t>There are essentially two tasks that need to be considered in the short-term to prepare for the longer-term work.</w:t>
      </w:r>
      <w:r w:rsidR="000E4B88" w:rsidRPr="009D00EB">
        <w:t xml:space="preserve"> </w:t>
      </w:r>
    </w:p>
    <w:p w14:paraId="1FFAD569" w14:textId="57288A92" w:rsidR="00CF517D" w:rsidRPr="009D00EB" w:rsidRDefault="001C797E" w:rsidP="00CF517D">
      <w:pPr>
        <w:pStyle w:val="Heading2"/>
      </w:pPr>
      <w:r>
        <w:t xml:space="preserve">Creating a </w:t>
      </w:r>
      <w:r w:rsidR="00CF517D" w:rsidRPr="009D00EB">
        <w:t>Working Group</w:t>
      </w:r>
      <w:r w:rsidR="00DD7EC0" w:rsidRPr="009D00EB">
        <w:t xml:space="preserve"> on Sustainability with</w:t>
      </w:r>
      <w:r>
        <w:t>in the</w:t>
      </w:r>
      <w:r w:rsidR="00DD7EC0" w:rsidRPr="009D00EB">
        <w:t xml:space="preserve"> ENG Committee</w:t>
      </w:r>
    </w:p>
    <w:p w14:paraId="6840B2EB" w14:textId="77777777" w:rsidR="0019511F" w:rsidRPr="00F13926" w:rsidRDefault="0019511F" w:rsidP="00CF517D">
      <w:pPr>
        <w:pStyle w:val="BodyText"/>
        <w:rPr>
          <w:b/>
          <w:bCs/>
        </w:rPr>
      </w:pPr>
      <w:r w:rsidRPr="009D00EB">
        <w:rPr>
          <w:b/>
          <w:bCs/>
        </w:rPr>
        <w:t>Create a new inter-</w:t>
      </w:r>
      <w:r w:rsidRPr="00F13926">
        <w:rPr>
          <w:b/>
          <w:bCs/>
        </w:rPr>
        <w:t xml:space="preserve">committee working group to coordinate and/or produce relevant documentation on sustainability. </w:t>
      </w:r>
    </w:p>
    <w:p w14:paraId="145A2646" w14:textId="67127353" w:rsidR="00D25961" w:rsidRPr="00F13926" w:rsidRDefault="00D25961" w:rsidP="00D25961">
      <w:pPr>
        <w:pStyle w:val="Heading3"/>
        <w:rPr>
          <w:rFonts w:asciiTheme="minorHAnsi" w:hAnsiTheme="minorHAnsi" w:cstheme="minorHAnsi"/>
        </w:rPr>
      </w:pPr>
      <w:r w:rsidRPr="00F13926">
        <w:rPr>
          <w:rFonts w:asciiTheme="minorHAnsi" w:hAnsiTheme="minorHAnsi" w:cstheme="minorHAnsi"/>
        </w:rPr>
        <w:t>Working Group Structure</w:t>
      </w:r>
    </w:p>
    <w:p w14:paraId="42BD10DF" w14:textId="1279D507" w:rsidR="0019511F" w:rsidRPr="009D00EB" w:rsidRDefault="00DD7EC0" w:rsidP="00CF517D">
      <w:pPr>
        <w:pStyle w:val="BodyText"/>
      </w:pPr>
      <w:r w:rsidRPr="00F13926">
        <w:t>During a discussion at PAP60, it was agreed that the best way to progress with the cross-committee approach to sustainability was to create a new working group in the ENG committee formed of interested parties representing all the committees.</w:t>
      </w:r>
      <w:r w:rsidR="001C797E" w:rsidRPr="00F13926">
        <w:t xml:space="preserve"> </w:t>
      </w:r>
      <w:r w:rsidR="0019511F" w:rsidRPr="00F13926">
        <w:t>This is</w:t>
      </w:r>
      <w:r w:rsidR="0019511F" w:rsidRPr="009D00EB">
        <w:t xml:space="preserve"> essential to managing the framework of reviewing work under the sustainability banner and to keep it up to date. The</w:t>
      </w:r>
      <w:r w:rsidRPr="009D00EB">
        <w:t xml:space="preserve"> WG</w:t>
      </w:r>
      <w:r w:rsidR="0019511F" w:rsidRPr="009D00EB">
        <w:t xml:space="preserve"> can keep the work fresh</w:t>
      </w:r>
      <w:r w:rsidR="005F61EE">
        <w:t xml:space="preserve"> and deal with any interrelated</w:t>
      </w:r>
      <w:r w:rsidR="0019511F" w:rsidRPr="009D00EB">
        <w:t xml:space="preserve"> topics without it being too overbearing. </w:t>
      </w:r>
    </w:p>
    <w:p w14:paraId="46248C0C" w14:textId="53C82725" w:rsidR="0019511F" w:rsidRPr="009D00EB" w:rsidRDefault="003F065C" w:rsidP="00DD7EC0">
      <w:pPr>
        <w:pStyle w:val="BodyText"/>
      </w:pPr>
      <w:r w:rsidRPr="00A4329B">
        <w:t xml:space="preserve">The participants wishing to contribute and develop the sustainability topics are invited to participate in the </w:t>
      </w:r>
      <w:r w:rsidR="00A67553">
        <w:t>new WG</w:t>
      </w:r>
      <w:r w:rsidRPr="00A4329B">
        <w:t xml:space="preserve"> of the ENG committee, </w:t>
      </w:r>
      <w:r w:rsidR="00A67553">
        <w:t>including</w:t>
      </w:r>
      <w:r>
        <w:t xml:space="preserve"> </w:t>
      </w:r>
      <w:r w:rsidR="0019511F" w:rsidRPr="009D00EB">
        <w:t xml:space="preserve">representatives from the other committees. </w:t>
      </w:r>
      <w:r w:rsidR="00DD7EC0" w:rsidRPr="009D00EB">
        <w:t>I</w:t>
      </w:r>
      <w:r w:rsidR="003E4999" w:rsidRPr="009D00EB">
        <w:t>t is</w:t>
      </w:r>
      <w:r w:rsidR="0019511F" w:rsidRPr="009D00EB">
        <w:t xml:space="preserve"> recognise</w:t>
      </w:r>
      <w:r w:rsidR="003E4999" w:rsidRPr="009D00EB">
        <w:t>d</w:t>
      </w:r>
      <w:r w:rsidR="0019511F" w:rsidRPr="009D00EB">
        <w:t xml:space="preserve"> that it would require additional effort for those in other committees to attend</w:t>
      </w:r>
      <w:r w:rsidR="00E41FF6" w:rsidRPr="009D00EB">
        <w:t xml:space="preserve"> </w:t>
      </w:r>
      <w:r w:rsidR="00DD7EC0" w:rsidRPr="009D00EB">
        <w:t>the WG during the ENG committee meeting, and this may take some time to settle</w:t>
      </w:r>
      <w:r w:rsidR="0019511F" w:rsidRPr="009D00EB">
        <w:t>.</w:t>
      </w:r>
      <w:r w:rsidR="00735FC2" w:rsidRPr="009D00EB">
        <w:t xml:space="preserve"> </w:t>
      </w:r>
      <w:r w:rsidR="00F14F24" w:rsidRPr="009D00EB">
        <w:t xml:space="preserve">Whilst attendees from other committees can act as a </w:t>
      </w:r>
      <w:r w:rsidR="00E41FF6" w:rsidRPr="009D00EB">
        <w:t>two-way rapporteur</w:t>
      </w:r>
      <w:r w:rsidR="00F14F24" w:rsidRPr="009D00EB">
        <w:t xml:space="preserve"> for their respective committees, the intention would be for official communication between committees to be carried out using liaison notes as per the usual IALA process.</w:t>
      </w:r>
    </w:p>
    <w:p w14:paraId="35C5B943" w14:textId="54B5694C" w:rsidR="00C06399" w:rsidRPr="00615E2C" w:rsidRDefault="002F2050" w:rsidP="00CF517D">
      <w:pPr>
        <w:pStyle w:val="BodyText"/>
      </w:pPr>
      <w:r w:rsidRPr="009D00EB">
        <w:t>A draft Terms of Reference</w:t>
      </w:r>
      <w:r w:rsidR="00DD7EC0" w:rsidRPr="009D00EB">
        <w:t xml:space="preserve"> for the WG</w:t>
      </w:r>
      <w:r w:rsidRPr="009D00EB">
        <w:t xml:space="preserve"> is available in Annex A</w:t>
      </w:r>
      <w:r w:rsidR="00DD7EC0" w:rsidRPr="009D00EB">
        <w:t>.</w:t>
      </w:r>
      <w:r w:rsidR="00D25961" w:rsidRPr="00D25961">
        <w:t xml:space="preserve"> </w:t>
      </w:r>
      <w:r w:rsidR="00596289">
        <w:t>In addition, t</w:t>
      </w:r>
      <w:r w:rsidR="00D25961" w:rsidRPr="009D00EB">
        <w:t xml:space="preserve">he new working group will require </w:t>
      </w:r>
      <w:r w:rsidR="00D25961" w:rsidRPr="00615E2C">
        <w:t xml:space="preserve">a chair and vice-chair. Anyone interested in taking on these roles should contact the ENG Committee Chair to register their interest by </w:t>
      </w:r>
      <w:r w:rsidR="00755F17">
        <w:t xml:space="preserve">the </w:t>
      </w:r>
      <w:r w:rsidR="00D25961" w:rsidRPr="00615E2C">
        <w:t xml:space="preserve">end of </w:t>
      </w:r>
      <w:r w:rsidR="00596289" w:rsidRPr="00615E2C">
        <w:t>May</w:t>
      </w:r>
      <w:r w:rsidR="00D25961" w:rsidRPr="00615E2C">
        <w:t xml:space="preserve"> 2026.</w:t>
      </w:r>
    </w:p>
    <w:p w14:paraId="54964660" w14:textId="49E98E3C" w:rsidR="00D25961" w:rsidRPr="00615E2C" w:rsidRDefault="00D25961" w:rsidP="00D25961">
      <w:pPr>
        <w:pStyle w:val="Heading3"/>
        <w:rPr>
          <w:rFonts w:asciiTheme="minorHAnsi" w:hAnsiTheme="minorHAnsi" w:cstheme="minorHAnsi"/>
        </w:rPr>
      </w:pPr>
      <w:r w:rsidRPr="00615E2C">
        <w:rPr>
          <w:rFonts w:asciiTheme="minorHAnsi" w:hAnsiTheme="minorHAnsi" w:cstheme="minorHAnsi"/>
        </w:rPr>
        <w:t>Initial Work Items</w:t>
      </w:r>
    </w:p>
    <w:p w14:paraId="53CF43F1" w14:textId="693FF281" w:rsidR="00D25961" w:rsidRPr="00615E2C" w:rsidRDefault="00D25961" w:rsidP="00D25961">
      <w:pPr>
        <w:pStyle w:val="BodyText"/>
      </w:pPr>
      <w:r w:rsidRPr="00615E2C">
        <w:t xml:space="preserve">To facilitate structured cross-committee development of sustainability topics, Annex </w:t>
      </w:r>
      <w:r w:rsidR="006772BB" w:rsidRPr="00615E2C">
        <w:t>B</w:t>
      </w:r>
      <w:r w:rsidRPr="00615E2C">
        <w:t xml:space="preserve"> presents a proposed mapping of workshop outputs against related IALA Standards, Committee responsibilities, Work Programme tasks, and SDG alignment.</w:t>
      </w:r>
    </w:p>
    <w:p w14:paraId="516E5BBA" w14:textId="77777777" w:rsidR="00D25961" w:rsidRPr="00615E2C" w:rsidRDefault="00D25961" w:rsidP="00D25961">
      <w:pPr>
        <w:pStyle w:val="BodyText"/>
      </w:pPr>
      <w:r w:rsidRPr="00615E2C">
        <w:t>This framework helps:</w:t>
      </w:r>
    </w:p>
    <w:p w14:paraId="11C1CCFC" w14:textId="623C6D9E" w:rsidR="00D25961" w:rsidRDefault="00D25961" w:rsidP="00D25961">
      <w:pPr>
        <w:pStyle w:val="BodyText"/>
        <w:numPr>
          <w:ilvl w:val="0"/>
          <w:numId w:val="24"/>
        </w:numPr>
      </w:pPr>
      <w:r w:rsidRPr="00615E2C">
        <w:t>Identify clear Committee leads</w:t>
      </w:r>
      <w:r>
        <w:t xml:space="preserve"> (ENG, ARM, DTEC, VTS, WWA) for each sustainability topic;</w:t>
      </w:r>
    </w:p>
    <w:p w14:paraId="52E18DED" w14:textId="0D27C0EC" w:rsidR="00D25961" w:rsidRDefault="00D25961" w:rsidP="00D25961">
      <w:pPr>
        <w:pStyle w:val="BodyText"/>
        <w:numPr>
          <w:ilvl w:val="0"/>
          <w:numId w:val="24"/>
        </w:numPr>
      </w:pPr>
      <w:r>
        <w:t>Support harmonized development across Recommendations, Guidelines, and Model Courses;</w:t>
      </w:r>
    </w:p>
    <w:p w14:paraId="320EA7A6" w14:textId="4920CD77" w:rsidR="00D25961" w:rsidRDefault="00D25961" w:rsidP="00D25961">
      <w:pPr>
        <w:pStyle w:val="BodyText"/>
        <w:numPr>
          <w:ilvl w:val="0"/>
          <w:numId w:val="24"/>
        </w:numPr>
      </w:pPr>
      <w:r>
        <w:t>Ensure coherence with existing and emerging IALA standards, particularly S-1010, S-1020, S-1070, S-1060, and S-1050;</w:t>
      </w:r>
    </w:p>
    <w:p w14:paraId="437FAB4F" w14:textId="0A771CC2" w:rsidR="00D25961" w:rsidRDefault="00D25961" w:rsidP="00D25961">
      <w:pPr>
        <w:pStyle w:val="BodyText"/>
        <w:numPr>
          <w:ilvl w:val="0"/>
          <w:numId w:val="24"/>
        </w:numPr>
      </w:pPr>
      <w:r>
        <w:t>Strengthen links to the IALA Committee Work Programme.</w:t>
      </w:r>
    </w:p>
    <w:p w14:paraId="0F9AC51F" w14:textId="4CD1A1B7" w:rsidR="00E614D7" w:rsidRPr="009D00EB" w:rsidRDefault="00E614D7" w:rsidP="00CF517D">
      <w:pPr>
        <w:pStyle w:val="BodyText"/>
      </w:pPr>
      <w:r w:rsidRPr="009D00EB">
        <w:t>This should provide a good basis on which to update the workplan with tasks for the working group to complete</w:t>
      </w:r>
      <w:r w:rsidR="00596289">
        <w:t xml:space="preserve"> or assist the relevant Committee with</w:t>
      </w:r>
      <w:r w:rsidRPr="009D00EB">
        <w:t xml:space="preserve">. </w:t>
      </w:r>
      <w:r w:rsidR="004A2266" w:rsidRPr="009D00EB">
        <w:t>Given the wide scope, t</w:t>
      </w:r>
      <w:r w:rsidRPr="009D00EB">
        <w:t xml:space="preserve">his may take a session or two to complete before the group will be able to start on the deliverables in earnest. Given the </w:t>
      </w:r>
      <w:r w:rsidR="00F14F24" w:rsidRPr="009D00EB">
        <w:t>timing of the current</w:t>
      </w:r>
      <w:r w:rsidRPr="009D00EB">
        <w:t xml:space="preserve"> workplan cycle, th</w:t>
      </w:r>
      <w:r w:rsidR="004A2266" w:rsidRPr="009D00EB">
        <w:t>e first deliverable is likely to be an updated set of tasks for the 2027 </w:t>
      </w:r>
      <w:r w:rsidR="006C794B" w:rsidRPr="009D00EB">
        <w:t>–</w:t>
      </w:r>
      <w:r w:rsidR="004A2266" w:rsidRPr="009D00EB">
        <w:t> 2030 workplan</w:t>
      </w:r>
      <w:r w:rsidR="000E4B88" w:rsidRPr="009D00EB">
        <w:t>.</w:t>
      </w:r>
      <w:r w:rsidR="00F14F24" w:rsidRPr="009D00EB">
        <w:t xml:space="preserve"> </w:t>
      </w:r>
    </w:p>
    <w:p w14:paraId="062CF1A0" w14:textId="64EAE754" w:rsidR="00CF517D" w:rsidRPr="009D00EB" w:rsidRDefault="00CF517D" w:rsidP="00CF517D">
      <w:pPr>
        <w:pStyle w:val="Heading2"/>
      </w:pPr>
      <w:r w:rsidRPr="009D00EB">
        <w:t xml:space="preserve">Sustainability </w:t>
      </w:r>
      <w:r w:rsidR="00596289">
        <w:t xml:space="preserve">Public </w:t>
      </w:r>
      <w:r w:rsidR="00F56258" w:rsidRPr="009D00EB">
        <w:t xml:space="preserve">Position </w:t>
      </w:r>
      <w:r w:rsidRPr="009D00EB">
        <w:t>Document</w:t>
      </w:r>
    </w:p>
    <w:p w14:paraId="27631CEA" w14:textId="789C284A" w:rsidR="003E4999" w:rsidRPr="009D00EB" w:rsidRDefault="003E4999" w:rsidP="00735FC2">
      <w:pPr>
        <w:pStyle w:val="BodyText"/>
        <w:rPr>
          <w:b/>
          <w:bCs/>
        </w:rPr>
      </w:pPr>
      <w:r w:rsidRPr="009D00EB">
        <w:rPr>
          <w:b/>
          <w:bCs/>
        </w:rPr>
        <w:t xml:space="preserve">Coordinate and produce a sustainability </w:t>
      </w:r>
      <w:r w:rsidR="00F56258" w:rsidRPr="009D00EB">
        <w:rPr>
          <w:b/>
          <w:bCs/>
        </w:rPr>
        <w:t xml:space="preserve">position </w:t>
      </w:r>
      <w:r w:rsidR="00735FC2" w:rsidRPr="009D00EB">
        <w:rPr>
          <w:b/>
          <w:bCs/>
        </w:rPr>
        <w:t>document</w:t>
      </w:r>
    </w:p>
    <w:p w14:paraId="0F3C94A7" w14:textId="55B1F325" w:rsidR="003E4999" w:rsidRPr="009D00EB" w:rsidRDefault="00735FC2" w:rsidP="00735FC2">
      <w:pPr>
        <w:pStyle w:val="BodyText"/>
      </w:pPr>
      <w:r w:rsidRPr="009D00EB">
        <w:t>As discussed during the workshop, t</w:t>
      </w:r>
      <w:r w:rsidR="003E4999" w:rsidRPr="009D00EB">
        <w:t xml:space="preserve">here is a great opportunity for </w:t>
      </w:r>
      <w:r w:rsidR="00F56258" w:rsidRPr="009D00EB">
        <w:t>a public position</w:t>
      </w:r>
      <w:r w:rsidR="003E4999" w:rsidRPr="009D00EB">
        <w:t xml:space="preserve"> </w:t>
      </w:r>
      <w:r w:rsidRPr="009D00EB">
        <w:t>document</w:t>
      </w:r>
      <w:r w:rsidR="003E4999" w:rsidRPr="009D00EB">
        <w:t xml:space="preserve"> to consolidate and harmonise the sustainability matters in and around IALA. It will need a strategic view </w:t>
      </w:r>
      <w:r w:rsidR="0005534F">
        <w:t>of</w:t>
      </w:r>
      <w:r w:rsidR="00A67553">
        <w:t xml:space="preserve"> </w:t>
      </w:r>
      <w:r w:rsidR="003E4999" w:rsidRPr="009D00EB">
        <w:t>what the future can bring as well as recognising what IALA and its members can do</w:t>
      </w:r>
      <w:r w:rsidR="00596289">
        <w:t xml:space="preserve"> in terms of sustainable development</w:t>
      </w:r>
      <w:r w:rsidR="003E4999" w:rsidRPr="009D00EB">
        <w:t xml:space="preserve">. </w:t>
      </w:r>
      <w:r w:rsidR="00F56258" w:rsidRPr="009D00EB">
        <w:t>The</w:t>
      </w:r>
      <w:r w:rsidR="003E4999" w:rsidRPr="009D00EB">
        <w:t xml:space="preserve"> document does not need to be especially long or detailed, rather, </w:t>
      </w:r>
      <w:r w:rsidR="00C102E1">
        <w:t xml:space="preserve">to </w:t>
      </w:r>
      <w:r w:rsidR="003E4999" w:rsidRPr="009D00EB">
        <w:t>identify the key principles and lay them out in a straightforward way.</w:t>
      </w:r>
    </w:p>
    <w:p w14:paraId="18CF524F" w14:textId="28925DBB" w:rsidR="00C33768" w:rsidRPr="009D00EB" w:rsidRDefault="006D754B" w:rsidP="00C33768">
      <w:pPr>
        <w:pStyle w:val="BodyText"/>
      </w:pPr>
      <w:r w:rsidRPr="009D00EB">
        <w:lastRenderedPageBreak/>
        <w:t>Building</w:t>
      </w:r>
      <w:r w:rsidR="00C33768" w:rsidRPr="009D00EB">
        <w:t xml:space="preserve"> on the outcomes of the </w:t>
      </w:r>
      <w:r w:rsidRPr="009D00EB">
        <w:t>w</w:t>
      </w:r>
      <w:r w:rsidR="00C33768" w:rsidRPr="009D00EB">
        <w:t xml:space="preserve">orkshop, the </w:t>
      </w:r>
      <w:r w:rsidRPr="009D00EB">
        <w:t>document</w:t>
      </w:r>
      <w:r w:rsidR="00C33768" w:rsidRPr="009D00EB">
        <w:t xml:space="preserve"> will be aligned with the objectives of IALA’s Strategic Vision</w:t>
      </w:r>
      <w:r w:rsidR="00242728" w:rsidRPr="009D00EB">
        <w:rPr>
          <w:rStyle w:val="FootnoteReference"/>
          <w:vertAlign w:val="superscript"/>
        </w:rPr>
        <w:footnoteReference w:id="1"/>
      </w:r>
      <w:r w:rsidR="00C33768" w:rsidRPr="009D00EB">
        <w:t xml:space="preserve">, including the aim </w:t>
      </w:r>
      <w:r w:rsidR="00C33768" w:rsidRPr="009D00EB">
        <w:rPr>
          <w:i/>
          <w:iCs/>
        </w:rPr>
        <w:t>“to innovate, improve and harmonise marine Aids to Navigation, reflecting technological change, operational needs and environmental sustainability”</w:t>
      </w:r>
      <w:r w:rsidR="00C33768" w:rsidRPr="009D00EB">
        <w:t xml:space="preserve"> as well as the IALA strategic driver </w:t>
      </w:r>
      <w:r w:rsidR="00C33768" w:rsidRPr="009D00EB">
        <w:rPr>
          <w:i/>
          <w:iCs/>
        </w:rPr>
        <w:t>“Sustainability and environmentally friendly operations”</w:t>
      </w:r>
      <w:r w:rsidR="00242728" w:rsidRPr="009D00EB">
        <w:rPr>
          <w:i/>
          <w:iCs/>
        </w:rPr>
        <w:t>.</w:t>
      </w:r>
      <w:r w:rsidR="001A4591" w:rsidRPr="009D00EB">
        <w:t xml:space="preserve"> </w:t>
      </w:r>
      <w:r w:rsidR="00C33768" w:rsidRPr="009D00EB">
        <w:t xml:space="preserve">It is proposed that </w:t>
      </w:r>
      <w:r w:rsidR="001A4591" w:rsidRPr="009D00EB">
        <w:t xml:space="preserve">it will help </w:t>
      </w:r>
      <w:r w:rsidR="00C33768" w:rsidRPr="009D00EB">
        <w:t>IALA</w:t>
      </w:r>
      <w:r w:rsidR="00242728" w:rsidRPr="009D00EB">
        <w:t xml:space="preserve"> and its members</w:t>
      </w:r>
      <w:r w:rsidR="00C33768" w:rsidRPr="009D00EB">
        <w:t xml:space="preserve"> </w:t>
      </w:r>
      <w:r w:rsidR="001A4591" w:rsidRPr="009D00EB">
        <w:t xml:space="preserve">to </w:t>
      </w:r>
      <w:r w:rsidR="00242728" w:rsidRPr="009D00EB">
        <w:t xml:space="preserve">achieve the aims of </w:t>
      </w:r>
      <w:r w:rsidR="00C33768" w:rsidRPr="009D00EB">
        <w:t xml:space="preserve">the UN Sustainable Development Goals </w:t>
      </w:r>
      <w:r w:rsidR="00242728" w:rsidRPr="009D00EB">
        <w:t>that fall within their remit by providing an agreed roadmap of priorities and tasks that the marine AtoN community should strive for</w:t>
      </w:r>
      <w:r w:rsidR="00C33768" w:rsidRPr="009D00EB">
        <w:t>.</w:t>
      </w:r>
    </w:p>
    <w:p w14:paraId="53B369D0" w14:textId="5EE2C63C" w:rsidR="004A2266" w:rsidRPr="009D00EB" w:rsidRDefault="003E4999" w:rsidP="00735FC2">
      <w:pPr>
        <w:pStyle w:val="BodyText"/>
      </w:pPr>
      <w:r w:rsidRPr="009D00EB">
        <w:t xml:space="preserve">The </w:t>
      </w:r>
      <w:r w:rsidR="00F56258" w:rsidRPr="009D00EB">
        <w:t>document</w:t>
      </w:r>
      <w:r w:rsidRPr="009D00EB">
        <w:t xml:space="preserve"> should be considered as a very positive move for IALA, both for the organisation itself and its members. As such, there is an opportunity to release the document to considerable fanfare at the 2027 conference in India. </w:t>
      </w:r>
      <w:r w:rsidR="004A2266" w:rsidRPr="009D00EB">
        <w:t xml:space="preserve">To meet this deadline, the drafting should be completed by May 2027 </w:t>
      </w:r>
      <w:r w:rsidR="00AC3329" w:rsidRPr="009D00EB">
        <w:t>for</w:t>
      </w:r>
      <w:r w:rsidR="004A2266" w:rsidRPr="009D00EB">
        <w:t xml:space="preserve"> it to be reviewed by the Council </w:t>
      </w:r>
      <w:r w:rsidR="00AC3329" w:rsidRPr="009D00EB">
        <w:t>and allow time for publication and marketing ahead of the conference.</w:t>
      </w:r>
    </w:p>
    <w:p w14:paraId="327B45A1" w14:textId="665C3285" w:rsidR="000E4B88" w:rsidRPr="009D00EB" w:rsidRDefault="000E4B88" w:rsidP="00735FC2">
      <w:pPr>
        <w:pStyle w:val="BodyText"/>
      </w:pPr>
      <w:r w:rsidRPr="009D00EB">
        <w:t xml:space="preserve">In PAP58, the Secretariat advised </w:t>
      </w:r>
      <w:r w:rsidR="00B02E5F" w:rsidRPr="009D00EB">
        <w:t xml:space="preserve">that </w:t>
      </w:r>
      <w:r w:rsidRPr="009D00EB">
        <w:t>they would be willing to lead on the development of th</w:t>
      </w:r>
      <w:r w:rsidR="00596289">
        <w:t>is document</w:t>
      </w:r>
      <w:r w:rsidRPr="009D00EB">
        <w:t>. Given the potential time constraints, th</w:t>
      </w:r>
      <w:r w:rsidR="00624B30">
        <w:t>is</w:t>
      </w:r>
      <w:r w:rsidRPr="009D00EB">
        <w:t xml:space="preserve"> is </w:t>
      </w:r>
      <w:r w:rsidR="00E41FF6" w:rsidRPr="009D00EB">
        <w:t xml:space="preserve">very </w:t>
      </w:r>
      <w:r w:rsidRPr="009D00EB">
        <w:t>welcome</w:t>
      </w:r>
      <w:r w:rsidR="00596289">
        <w:t xml:space="preserve"> and</w:t>
      </w:r>
      <w:r w:rsidR="006772BB">
        <w:t xml:space="preserve"> gives</w:t>
      </w:r>
      <w:r w:rsidR="00596289">
        <w:t xml:space="preserve"> the new</w:t>
      </w:r>
      <w:r w:rsidRPr="009D00EB">
        <w:t xml:space="preserve"> sustainability</w:t>
      </w:r>
      <w:r w:rsidR="00F56258" w:rsidRPr="009D00EB">
        <w:t xml:space="preserve"> working</w:t>
      </w:r>
      <w:r w:rsidRPr="009D00EB">
        <w:t xml:space="preserve"> </w:t>
      </w:r>
      <w:r w:rsidR="00E41FF6" w:rsidRPr="009D00EB">
        <w:t>group</w:t>
      </w:r>
      <w:r w:rsidR="006772BB">
        <w:t xml:space="preserve"> an opportunity to also be involved in</w:t>
      </w:r>
      <w:r w:rsidRPr="009D00EB">
        <w:t xml:space="preserve"> </w:t>
      </w:r>
      <w:r w:rsidR="00F56258" w:rsidRPr="009D00EB">
        <w:t>the drafting</w:t>
      </w:r>
      <w:r w:rsidRPr="009D00EB">
        <w:t>.</w:t>
      </w:r>
    </w:p>
    <w:p w14:paraId="629B2431" w14:textId="48944BDA" w:rsidR="003E4999" w:rsidRPr="009D00EB" w:rsidRDefault="00C06399" w:rsidP="00E614D7">
      <w:pPr>
        <w:pStyle w:val="Heading1"/>
      </w:pPr>
      <w:r w:rsidRPr="009D00EB">
        <w:t>Conclusions</w:t>
      </w:r>
    </w:p>
    <w:p w14:paraId="76833F05" w14:textId="7A0AF334" w:rsidR="005B36A5" w:rsidRPr="009D00EB" w:rsidRDefault="00C06399" w:rsidP="00C06399">
      <w:pPr>
        <w:pStyle w:val="BodyText"/>
      </w:pPr>
      <w:r w:rsidRPr="009D00EB">
        <w:t xml:space="preserve">It is apparent </w:t>
      </w:r>
      <w:r w:rsidR="005B36A5" w:rsidRPr="009D00EB">
        <w:t xml:space="preserve">from the IALA Sustainability Workshop </w:t>
      </w:r>
      <w:r w:rsidRPr="009D00EB">
        <w:t>that more work is needed to fully embed topics concerning sustainability into existing documents as well as produc</w:t>
      </w:r>
      <w:r w:rsidR="00A60DA8">
        <w:t>e</w:t>
      </w:r>
      <w:r w:rsidRPr="009D00EB">
        <w:t xml:space="preserve"> new documents that expand on the subject in greater detail.</w:t>
      </w:r>
    </w:p>
    <w:p w14:paraId="2AF7E9DD" w14:textId="0EDBB479" w:rsidR="00C06399" w:rsidRPr="009D00EB" w:rsidRDefault="00C06399" w:rsidP="00C06399">
      <w:pPr>
        <w:pStyle w:val="BodyText"/>
      </w:pPr>
      <w:r w:rsidRPr="009D00EB">
        <w:t>This needs to be coordinated in the long-term</w:t>
      </w:r>
      <w:r w:rsidR="006772BB">
        <w:t>, and the establishment</w:t>
      </w:r>
      <w:r w:rsidRPr="009D00EB">
        <w:t xml:space="preserve"> </w:t>
      </w:r>
      <w:r w:rsidR="006772BB">
        <w:t>of</w:t>
      </w:r>
      <w:r w:rsidR="000E4B88" w:rsidRPr="009D00EB">
        <w:t xml:space="preserve"> a</w:t>
      </w:r>
      <w:r w:rsidR="00F56258" w:rsidRPr="009D00EB">
        <w:t xml:space="preserve"> new working</w:t>
      </w:r>
      <w:r w:rsidR="000E4B88" w:rsidRPr="009D00EB">
        <w:t xml:space="preserve"> group embedded into the ENG Committee</w:t>
      </w:r>
      <w:r w:rsidR="006772BB">
        <w:t xml:space="preserve"> is the first step to achieve this.</w:t>
      </w:r>
      <w:r w:rsidR="000E4B88" w:rsidRPr="009D00EB">
        <w:t xml:space="preserve"> </w:t>
      </w:r>
    </w:p>
    <w:p w14:paraId="45E9E69D" w14:textId="6937026E" w:rsidR="005B36A5" w:rsidRPr="009D00EB" w:rsidRDefault="005B36A5" w:rsidP="00C06399">
      <w:pPr>
        <w:pStyle w:val="BodyText"/>
      </w:pPr>
      <w:r w:rsidRPr="009D00EB">
        <w:t xml:space="preserve">One of the first tasks of the group would be to start to update the workplan with tasks related to sustainability as identified at, and since, the workshop. There is also a great opportunity for the group to work with the IALA Secretariat to produce </w:t>
      </w:r>
      <w:r w:rsidR="006772BB">
        <w:t>the position</w:t>
      </w:r>
      <w:r w:rsidRPr="009D00EB">
        <w:t xml:space="preserve"> </w:t>
      </w:r>
      <w:r w:rsidR="00283D52" w:rsidRPr="009D00EB">
        <w:t>document</w:t>
      </w:r>
      <w:r w:rsidRPr="009D00EB">
        <w:t xml:space="preserve"> that will highlight IALA and its members’ commitment to sustainability matters in the AtoN and VTS community, and to use the opportunity of the next IALA Conference to launch the paper to great fanfare.</w:t>
      </w:r>
    </w:p>
    <w:p w14:paraId="252A2498" w14:textId="5B19B462" w:rsidR="00846EF7" w:rsidRPr="009D00EB" w:rsidRDefault="00A446C9" w:rsidP="00CD3716">
      <w:pPr>
        <w:pStyle w:val="Heading1"/>
      </w:pPr>
      <w:r w:rsidRPr="009D00EB">
        <w:t>Action requested</w:t>
      </w:r>
    </w:p>
    <w:p w14:paraId="3C87BD81" w14:textId="6EF957A4" w:rsidR="00CD3716" w:rsidRPr="009D00EB" w:rsidRDefault="00F56258" w:rsidP="00CD3716">
      <w:pPr>
        <w:pStyle w:val="Heading4"/>
        <w:numPr>
          <w:ilvl w:val="0"/>
          <w:numId w:val="0"/>
        </w:numPr>
        <w:ind w:left="1134" w:hanging="1134"/>
        <w:rPr>
          <w:rFonts w:asciiTheme="minorHAnsi" w:hAnsiTheme="minorHAnsi" w:cstheme="minorHAnsi"/>
          <w:lang w:val="en-GB"/>
        </w:rPr>
      </w:pPr>
      <w:r w:rsidRPr="009D00EB">
        <w:rPr>
          <w:rFonts w:asciiTheme="minorHAnsi" w:hAnsiTheme="minorHAnsi" w:cstheme="minorHAnsi"/>
          <w:lang w:val="en-GB" w:eastAsia="ko-KR"/>
        </w:rPr>
        <w:t>The technical committees</w:t>
      </w:r>
      <w:r w:rsidR="00CD3716" w:rsidRPr="009D00EB">
        <w:rPr>
          <w:rFonts w:asciiTheme="minorHAnsi" w:hAnsiTheme="minorHAnsi" w:cstheme="minorHAnsi"/>
          <w:lang w:val="en-GB" w:eastAsia="ko-KR"/>
        </w:rPr>
        <w:t xml:space="preserve"> </w:t>
      </w:r>
      <w:r w:rsidRPr="009D00EB">
        <w:rPr>
          <w:rFonts w:asciiTheme="minorHAnsi" w:hAnsiTheme="minorHAnsi" w:cstheme="minorHAnsi"/>
          <w:lang w:val="en-GB" w:eastAsia="ko-KR"/>
        </w:rPr>
        <w:t>are</w:t>
      </w:r>
      <w:r w:rsidR="00CD3716" w:rsidRPr="009D00EB">
        <w:rPr>
          <w:rFonts w:asciiTheme="minorHAnsi" w:hAnsiTheme="minorHAnsi" w:cstheme="minorHAnsi"/>
          <w:lang w:val="en-GB"/>
        </w:rPr>
        <w:t xml:space="preserve"> </w:t>
      </w:r>
      <w:r w:rsidR="000D20D8" w:rsidRPr="009D00EB">
        <w:rPr>
          <w:rFonts w:asciiTheme="minorHAnsi" w:hAnsiTheme="minorHAnsi" w:cstheme="minorHAnsi"/>
          <w:lang w:val="en-GB"/>
        </w:rPr>
        <w:t xml:space="preserve">kindly </w:t>
      </w:r>
      <w:r w:rsidR="00CD3716" w:rsidRPr="009D00EB">
        <w:rPr>
          <w:rFonts w:asciiTheme="minorHAnsi" w:hAnsiTheme="minorHAnsi" w:cstheme="minorHAnsi"/>
          <w:lang w:val="en-GB"/>
        </w:rPr>
        <w:t>invited to:</w:t>
      </w:r>
    </w:p>
    <w:p w14:paraId="1A6D39EC" w14:textId="206505CA" w:rsidR="00560965" w:rsidRPr="00B1763C" w:rsidRDefault="00F56258" w:rsidP="00560965">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Note</w:t>
      </w:r>
      <w:r w:rsidRPr="00B1763C">
        <w:rPr>
          <w:rFonts w:asciiTheme="minorHAnsi" w:hAnsiTheme="minorHAnsi" w:cstheme="minorHAnsi"/>
          <w:szCs w:val="22"/>
          <w:lang w:val="en-GB"/>
        </w:rPr>
        <w:t xml:space="preserve"> the intention</w:t>
      </w:r>
      <w:r w:rsidR="00560965" w:rsidRPr="00B1763C">
        <w:rPr>
          <w:rFonts w:asciiTheme="minorHAnsi" w:hAnsiTheme="minorHAnsi" w:cstheme="minorHAnsi"/>
          <w:szCs w:val="22"/>
          <w:lang w:val="en-GB"/>
        </w:rPr>
        <w:t xml:space="preserve"> to form a Sustainability Working Group in the ENG Committee, starting in ENG23 (October 2026).</w:t>
      </w:r>
    </w:p>
    <w:p w14:paraId="590109A4" w14:textId="38F80E9A" w:rsidR="00B91927" w:rsidRPr="00B1763C" w:rsidRDefault="00560965" w:rsidP="002B59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Consider</w:t>
      </w:r>
      <w:r w:rsidRPr="00B1763C">
        <w:rPr>
          <w:rFonts w:asciiTheme="minorHAnsi" w:hAnsiTheme="minorHAnsi" w:cstheme="minorHAnsi"/>
          <w:szCs w:val="22"/>
          <w:lang w:val="en-GB"/>
        </w:rPr>
        <w:t xml:space="preserve"> sending a representative of the technical committee to attend the working group meetings.</w:t>
      </w:r>
    </w:p>
    <w:p w14:paraId="1B2BF2C0" w14:textId="328B3283" w:rsidR="00CD3716" w:rsidRPr="00B1763C" w:rsidRDefault="00560965" w:rsidP="000D20D8">
      <w:pPr>
        <w:pStyle w:val="Heading4"/>
        <w:numPr>
          <w:ilvl w:val="0"/>
          <w:numId w:val="23"/>
        </w:numPr>
        <w:rPr>
          <w:rFonts w:asciiTheme="minorHAnsi" w:hAnsiTheme="minorHAnsi" w:cstheme="minorHAnsi"/>
          <w:szCs w:val="22"/>
          <w:lang w:val="en-GB"/>
        </w:rPr>
      </w:pPr>
      <w:r w:rsidRPr="00B1763C">
        <w:rPr>
          <w:rFonts w:asciiTheme="minorHAnsi" w:hAnsiTheme="minorHAnsi" w:cstheme="minorHAnsi"/>
          <w:b/>
          <w:bCs/>
          <w:szCs w:val="22"/>
          <w:lang w:val="en-GB"/>
        </w:rPr>
        <w:t>Review</w:t>
      </w:r>
      <w:r w:rsidRPr="00B1763C">
        <w:rPr>
          <w:rFonts w:asciiTheme="minorHAnsi" w:hAnsiTheme="minorHAnsi" w:cstheme="minorHAnsi"/>
          <w:szCs w:val="22"/>
          <w:lang w:val="en-GB"/>
        </w:rPr>
        <w:t xml:space="preserve"> potential work of the working group</w:t>
      </w:r>
      <w:r w:rsidR="002B59D8" w:rsidRPr="00B1763C">
        <w:rPr>
          <w:rFonts w:asciiTheme="minorHAnsi" w:hAnsiTheme="minorHAnsi" w:cstheme="minorHAnsi"/>
          <w:szCs w:val="22"/>
          <w:lang w:val="en-GB"/>
        </w:rPr>
        <w:t xml:space="preserve">, and submit any comments on this </w:t>
      </w:r>
      <w:r w:rsidR="006772BB" w:rsidRPr="00B1763C">
        <w:rPr>
          <w:rFonts w:asciiTheme="minorHAnsi" w:hAnsiTheme="minorHAnsi" w:cstheme="minorHAnsi"/>
          <w:szCs w:val="22"/>
          <w:lang w:val="en-GB"/>
        </w:rPr>
        <w:t xml:space="preserve">matter </w:t>
      </w:r>
      <w:r w:rsidR="002B59D8" w:rsidRPr="00B1763C">
        <w:rPr>
          <w:rFonts w:asciiTheme="minorHAnsi" w:hAnsiTheme="minorHAnsi" w:cstheme="minorHAnsi"/>
          <w:szCs w:val="22"/>
          <w:lang w:val="en-GB"/>
        </w:rPr>
        <w:t xml:space="preserve">either by a liaison note </w:t>
      </w:r>
      <w:r w:rsidR="006772BB" w:rsidRPr="00B1763C">
        <w:rPr>
          <w:rFonts w:asciiTheme="minorHAnsi" w:hAnsiTheme="minorHAnsi" w:cstheme="minorHAnsi"/>
          <w:szCs w:val="22"/>
          <w:lang w:val="en-GB"/>
        </w:rPr>
        <w:t>to ENG23 or through the committee representative attending the working group.</w:t>
      </w:r>
    </w:p>
    <w:p w14:paraId="1F39D082" w14:textId="631F22DF" w:rsidR="00B91927" w:rsidRPr="009D00EB" w:rsidRDefault="002B59D8" w:rsidP="002B59D8">
      <w:pPr>
        <w:pStyle w:val="BodyTextIndent"/>
        <w:ind w:left="0"/>
        <w:rPr>
          <w:rFonts w:asciiTheme="minorHAnsi" w:hAnsiTheme="minorHAnsi" w:cstheme="minorHAnsi"/>
          <w:szCs w:val="20"/>
          <w:lang w:eastAsia="de-DE"/>
        </w:rPr>
      </w:pPr>
      <w:r w:rsidRPr="009D00EB">
        <w:rPr>
          <w:rFonts w:asciiTheme="minorHAnsi" w:hAnsiTheme="minorHAnsi" w:cstheme="minorHAnsi"/>
          <w:szCs w:val="20"/>
          <w:lang w:eastAsia="de-DE"/>
        </w:rPr>
        <w:t>In addition, IALA Members are kindly invited to:</w:t>
      </w:r>
    </w:p>
    <w:p w14:paraId="2C9149FB" w14:textId="445687FB"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Participate</w:t>
      </w:r>
      <w:r w:rsidRPr="009D00EB">
        <w:rPr>
          <w:rFonts w:asciiTheme="minorHAnsi" w:hAnsiTheme="minorHAnsi" w:cstheme="minorHAnsi"/>
          <w:lang w:val="en-GB"/>
        </w:rPr>
        <w:t xml:space="preserve"> </w:t>
      </w:r>
      <w:r w:rsidR="0093374D" w:rsidRPr="0093374D">
        <w:rPr>
          <w:rFonts w:asciiTheme="minorHAnsi" w:hAnsiTheme="minorHAnsi" w:cstheme="minorHAnsi"/>
          <w:b/>
          <w:bCs/>
          <w:lang w:val="en-GB"/>
        </w:rPr>
        <w:t>in and contribute</w:t>
      </w:r>
      <w:r w:rsidR="0093374D">
        <w:rPr>
          <w:rFonts w:asciiTheme="minorHAnsi" w:hAnsiTheme="minorHAnsi" w:cstheme="minorHAnsi"/>
          <w:lang w:val="en-GB"/>
        </w:rPr>
        <w:t xml:space="preserve"> </w:t>
      </w:r>
      <w:r w:rsidR="0093374D" w:rsidRPr="0093374D">
        <w:rPr>
          <w:rFonts w:asciiTheme="minorHAnsi" w:hAnsiTheme="minorHAnsi" w:cstheme="minorHAnsi"/>
          <w:b/>
          <w:bCs/>
          <w:lang w:val="en-GB"/>
        </w:rPr>
        <w:t>to</w:t>
      </w:r>
      <w:r w:rsidRPr="009D00EB">
        <w:rPr>
          <w:rFonts w:asciiTheme="minorHAnsi" w:hAnsiTheme="minorHAnsi" w:cstheme="minorHAnsi"/>
          <w:lang w:val="en-GB"/>
        </w:rPr>
        <w:t xml:space="preserve"> the working group at the ENG Committee, starting at ENG23 (October 2026 at IALA HQ).</w:t>
      </w:r>
    </w:p>
    <w:p w14:paraId="0914BA5B" w14:textId="1120F865" w:rsidR="002B59D8" w:rsidRPr="009D00EB" w:rsidRDefault="002B59D8" w:rsidP="002B59D8">
      <w:pPr>
        <w:pStyle w:val="Heading4"/>
        <w:numPr>
          <w:ilvl w:val="0"/>
          <w:numId w:val="36"/>
        </w:numPr>
        <w:rPr>
          <w:rFonts w:asciiTheme="minorHAnsi" w:hAnsiTheme="minorHAnsi" w:cstheme="minorHAnsi"/>
          <w:lang w:val="en-GB"/>
        </w:rPr>
      </w:pPr>
      <w:r w:rsidRPr="009D00EB">
        <w:rPr>
          <w:rFonts w:asciiTheme="minorHAnsi" w:hAnsiTheme="minorHAnsi" w:cstheme="minorHAnsi"/>
          <w:b/>
          <w:bCs/>
          <w:lang w:val="en-GB"/>
        </w:rPr>
        <w:t>Propose</w:t>
      </w:r>
      <w:r w:rsidRPr="009D00EB">
        <w:rPr>
          <w:rFonts w:asciiTheme="minorHAnsi" w:hAnsiTheme="minorHAnsi" w:cstheme="minorHAnsi"/>
          <w:lang w:val="en-GB"/>
        </w:rPr>
        <w:t xml:space="preserve"> potential chairs and vice-chairs to lead the working group to the ENG Committee Chair by </w:t>
      </w:r>
      <w:r w:rsidR="00B1763C">
        <w:rPr>
          <w:rFonts w:asciiTheme="minorHAnsi" w:hAnsiTheme="minorHAnsi" w:cstheme="minorHAnsi"/>
          <w:lang w:val="en-GB"/>
        </w:rPr>
        <w:t xml:space="preserve">the </w:t>
      </w:r>
      <w:r w:rsidRPr="009D00EB">
        <w:rPr>
          <w:rFonts w:asciiTheme="minorHAnsi" w:hAnsiTheme="minorHAnsi" w:cstheme="minorHAnsi"/>
          <w:lang w:val="en-GB"/>
        </w:rPr>
        <w:t xml:space="preserve">end of </w:t>
      </w:r>
      <w:r w:rsidR="00A67553">
        <w:rPr>
          <w:rFonts w:asciiTheme="minorHAnsi" w:hAnsiTheme="minorHAnsi" w:cstheme="minorHAnsi"/>
          <w:lang w:val="en-GB"/>
        </w:rPr>
        <w:t>May</w:t>
      </w:r>
      <w:r w:rsidR="00A67553" w:rsidRPr="009D00EB">
        <w:rPr>
          <w:rFonts w:asciiTheme="minorHAnsi" w:hAnsiTheme="minorHAnsi" w:cstheme="minorHAnsi"/>
          <w:lang w:val="en-GB"/>
        </w:rPr>
        <w:t xml:space="preserve"> </w:t>
      </w:r>
      <w:r w:rsidRPr="009D00EB">
        <w:rPr>
          <w:rFonts w:asciiTheme="minorHAnsi" w:hAnsiTheme="minorHAnsi" w:cstheme="minorHAnsi"/>
          <w:lang w:val="en-GB"/>
        </w:rPr>
        <w:t>2026.</w:t>
      </w:r>
    </w:p>
    <w:p w14:paraId="29CBC70B" w14:textId="77777777" w:rsidR="002F2050" w:rsidRDefault="002F2050" w:rsidP="00CD3716">
      <w:pPr>
        <w:pStyle w:val="BodyTextIndent"/>
        <w:ind w:left="0"/>
        <w:rPr>
          <w:lang w:eastAsia="de-DE"/>
        </w:rPr>
      </w:pPr>
    </w:p>
    <w:p w14:paraId="4EB8D216" w14:textId="23608689" w:rsidR="009D00EB" w:rsidRDefault="009D00EB">
      <w:pPr>
        <w:rPr>
          <w:lang w:eastAsia="de-DE"/>
        </w:rPr>
      </w:pPr>
      <w:r>
        <w:rPr>
          <w:lang w:eastAsia="de-DE"/>
        </w:rPr>
        <w:br w:type="page"/>
      </w:r>
    </w:p>
    <w:p w14:paraId="7022B521" w14:textId="0270DB72" w:rsidR="003E4999" w:rsidRPr="009D00EB" w:rsidRDefault="002F2050" w:rsidP="002F2050">
      <w:pPr>
        <w:pStyle w:val="Annex"/>
        <w:numPr>
          <w:ilvl w:val="0"/>
          <w:numId w:val="0"/>
        </w:numPr>
        <w:ind w:left="360"/>
        <w:rPr>
          <w:lang w:eastAsia="de-DE"/>
        </w:rPr>
      </w:pPr>
      <w:r w:rsidRPr="009D00EB">
        <w:rPr>
          <w:lang w:eastAsia="de-DE"/>
        </w:rPr>
        <w:lastRenderedPageBreak/>
        <w:t xml:space="preserve">Annex A </w:t>
      </w:r>
      <w:r w:rsidR="00971603" w:rsidRPr="009D00EB">
        <w:rPr>
          <w:lang w:eastAsia="de-DE"/>
        </w:rPr>
        <w:t>–</w:t>
      </w:r>
      <w:r w:rsidR="00C06399" w:rsidRPr="009D00EB">
        <w:rPr>
          <w:lang w:eastAsia="de-DE"/>
        </w:rPr>
        <w:t xml:space="preserve"> </w:t>
      </w:r>
      <w:r w:rsidRPr="009D00EB">
        <w:rPr>
          <w:lang w:eastAsia="de-DE"/>
        </w:rPr>
        <w:t>Draft Terms of Reference for Sustainability Working Group</w:t>
      </w:r>
      <w:r w:rsidR="006772BB">
        <w:rPr>
          <w:lang w:eastAsia="de-DE"/>
        </w:rPr>
        <w:t xml:space="preserve"> In the ENG COmmittee</w:t>
      </w:r>
    </w:p>
    <w:p w14:paraId="782A6403" w14:textId="77777777" w:rsidR="00CD3716" w:rsidRPr="009D00EB" w:rsidRDefault="00CD3716" w:rsidP="002F2050">
      <w:pPr>
        <w:pStyle w:val="BodyText"/>
      </w:pPr>
    </w:p>
    <w:p w14:paraId="3A7807E8" w14:textId="63DA4FF1" w:rsidR="00D66AEF" w:rsidRPr="009D00EB" w:rsidRDefault="002F2050" w:rsidP="002F2050">
      <w:pPr>
        <w:pStyle w:val="Heading1"/>
        <w:numPr>
          <w:ilvl w:val="0"/>
          <w:numId w:val="0"/>
        </w:numPr>
      </w:pPr>
      <w:r w:rsidRPr="009D00EB">
        <w:t>Introduction</w:t>
      </w:r>
    </w:p>
    <w:p w14:paraId="6B8F50AF" w14:textId="206315A4" w:rsidR="00FC1027" w:rsidRPr="009D00EB" w:rsidRDefault="00FC1027" w:rsidP="00FC1027">
      <w:pPr>
        <w:pStyle w:val="BodyText"/>
        <w:rPr>
          <w:lang w:eastAsia="de-DE"/>
        </w:rPr>
      </w:pPr>
      <w:r w:rsidRPr="009D00EB">
        <w:rPr>
          <w:lang w:eastAsia="de-DE"/>
        </w:rPr>
        <w:t>This working group is to coordinate and accelerate the implementation of sustainability in AtoN and VTS across IALA Committees by developing joint actions, exchanging expertise, collecting best practices, and preparing deliverables on the topic of sustainability.</w:t>
      </w:r>
    </w:p>
    <w:p w14:paraId="23F79EC7" w14:textId="42305340" w:rsidR="002F2050" w:rsidRPr="009D00EB" w:rsidRDefault="00FC1027" w:rsidP="002F2050">
      <w:pPr>
        <w:pStyle w:val="BodyText"/>
        <w:rPr>
          <w:lang w:eastAsia="de-DE"/>
        </w:rPr>
      </w:pPr>
      <w:r w:rsidRPr="009D00EB">
        <w:rPr>
          <w:lang w:eastAsia="de-DE"/>
        </w:rPr>
        <w:t>The working group supports the IALA vision for sustainable navigation and ensures that sustainability is progressively embedded into IALA guidance, training, technical services, and programmes.</w:t>
      </w:r>
    </w:p>
    <w:p w14:paraId="3B629419" w14:textId="32BCF600" w:rsidR="002F2050" w:rsidRPr="009D00EB" w:rsidRDefault="002F2050" w:rsidP="002F2050">
      <w:pPr>
        <w:pStyle w:val="Heading1"/>
        <w:numPr>
          <w:ilvl w:val="0"/>
          <w:numId w:val="0"/>
        </w:numPr>
      </w:pPr>
      <w:r w:rsidRPr="009D00EB">
        <w:t>Scope</w:t>
      </w:r>
    </w:p>
    <w:p w14:paraId="3A53B558" w14:textId="1EA0F852" w:rsidR="00FC1027" w:rsidRPr="009D00EB" w:rsidRDefault="00FC1027" w:rsidP="00FC1027">
      <w:pPr>
        <w:pStyle w:val="BodyText"/>
        <w:rPr>
          <w:lang w:eastAsia="de-DE"/>
        </w:rPr>
      </w:pPr>
      <w:r w:rsidRPr="009D00EB">
        <w:rPr>
          <w:lang w:eastAsia="de-DE"/>
        </w:rPr>
        <w:t>The review, update</w:t>
      </w:r>
      <w:r w:rsidR="00EF3FF8" w:rsidRPr="009D00EB">
        <w:rPr>
          <w:lang w:eastAsia="de-DE"/>
        </w:rPr>
        <w:t>,</w:t>
      </w:r>
      <w:r w:rsidRPr="009D00EB">
        <w:rPr>
          <w:lang w:eastAsia="de-DE"/>
        </w:rPr>
        <w:t xml:space="preserve"> and development of IALA documents and knowledge transfer that supports the ENG Committee Work Programme 2023 – 2027 and IALA strategy. The support of technical workshops.</w:t>
      </w:r>
    </w:p>
    <w:p w14:paraId="49E6C29E" w14:textId="1E566A73" w:rsidR="00FC1027" w:rsidRPr="009D00EB" w:rsidRDefault="00FC1027" w:rsidP="00FC1027">
      <w:pPr>
        <w:pStyle w:val="Heading1"/>
        <w:numPr>
          <w:ilvl w:val="0"/>
          <w:numId w:val="0"/>
        </w:numPr>
      </w:pPr>
      <w:r w:rsidRPr="009D00EB">
        <w:t>Topics and Activities</w:t>
      </w:r>
    </w:p>
    <w:p w14:paraId="35573F2B" w14:textId="0EB38DFA" w:rsidR="002F2050" w:rsidRPr="009D00EB" w:rsidRDefault="002F2050" w:rsidP="002F2050">
      <w:pPr>
        <w:pStyle w:val="BodyText"/>
        <w:numPr>
          <w:ilvl w:val="0"/>
          <w:numId w:val="27"/>
        </w:numPr>
        <w:rPr>
          <w:lang w:eastAsia="de-DE"/>
        </w:rPr>
      </w:pPr>
      <w:r w:rsidRPr="009D00EB">
        <w:rPr>
          <w:lang w:eastAsia="de-DE"/>
        </w:rPr>
        <w:t>Implementation of sustainab</w:t>
      </w:r>
      <w:r w:rsidR="0003452A" w:rsidRPr="009D00EB">
        <w:rPr>
          <w:lang w:eastAsia="de-DE"/>
        </w:rPr>
        <w:t>le</w:t>
      </w:r>
      <w:r w:rsidRPr="009D00EB">
        <w:rPr>
          <w:lang w:eastAsia="de-DE"/>
        </w:rPr>
        <w:t xml:space="preserve"> practices in AtoN and VTS operations.</w:t>
      </w:r>
    </w:p>
    <w:p w14:paraId="6F1F35F3" w14:textId="21AEDF25" w:rsidR="002F2050" w:rsidRPr="009D00EB" w:rsidRDefault="002F2050" w:rsidP="002F2050">
      <w:pPr>
        <w:pStyle w:val="BodyText"/>
        <w:numPr>
          <w:ilvl w:val="0"/>
          <w:numId w:val="27"/>
        </w:numPr>
        <w:rPr>
          <w:lang w:eastAsia="de-DE"/>
        </w:rPr>
      </w:pPr>
      <w:r w:rsidRPr="009D00EB">
        <w:rPr>
          <w:lang w:eastAsia="de-DE"/>
        </w:rPr>
        <w:t>Climate resilience and environmental protection.</w:t>
      </w:r>
    </w:p>
    <w:p w14:paraId="1B65A99C" w14:textId="16F70363" w:rsidR="002F2050" w:rsidRPr="009D00EB" w:rsidRDefault="002F2050" w:rsidP="002F2050">
      <w:pPr>
        <w:pStyle w:val="BodyText"/>
        <w:numPr>
          <w:ilvl w:val="0"/>
          <w:numId w:val="27"/>
        </w:numPr>
        <w:rPr>
          <w:lang w:eastAsia="de-DE"/>
        </w:rPr>
      </w:pPr>
      <w:r w:rsidRPr="009D00EB">
        <w:rPr>
          <w:lang w:eastAsia="de-DE"/>
        </w:rPr>
        <w:t>Digitalization and optimization of operations.</w:t>
      </w:r>
    </w:p>
    <w:p w14:paraId="262882BE" w14:textId="2DC21388" w:rsidR="002F2050" w:rsidRPr="009D00EB" w:rsidRDefault="002F2050" w:rsidP="002F2050">
      <w:pPr>
        <w:pStyle w:val="BodyText"/>
        <w:numPr>
          <w:ilvl w:val="0"/>
          <w:numId w:val="27"/>
        </w:numPr>
        <w:rPr>
          <w:lang w:eastAsia="de-DE"/>
        </w:rPr>
      </w:pPr>
      <w:r w:rsidRPr="009D00EB">
        <w:rPr>
          <w:lang w:eastAsia="de-DE"/>
        </w:rPr>
        <w:t>Lifecycle sustainability: power, materials, and procurement.</w:t>
      </w:r>
    </w:p>
    <w:p w14:paraId="4B16E84A" w14:textId="599BF300" w:rsidR="00230DAC" w:rsidRPr="009D00EB" w:rsidRDefault="009D75BF" w:rsidP="002F2050">
      <w:pPr>
        <w:pStyle w:val="BodyText"/>
        <w:numPr>
          <w:ilvl w:val="0"/>
          <w:numId w:val="27"/>
        </w:numPr>
        <w:rPr>
          <w:lang w:eastAsia="de-DE"/>
        </w:rPr>
      </w:pPr>
      <w:r w:rsidRPr="009D00EB">
        <w:rPr>
          <w:lang w:eastAsia="de-DE"/>
        </w:rPr>
        <w:t>Renewable energy</w:t>
      </w:r>
      <w:r w:rsidR="00230DAC" w:rsidRPr="009D00EB">
        <w:rPr>
          <w:lang w:eastAsia="de-DE"/>
        </w:rPr>
        <w:t>.</w:t>
      </w:r>
    </w:p>
    <w:p w14:paraId="7B2C67EB" w14:textId="08B52FE9" w:rsidR="002F2050" w:rsidRPr="009D00EB" w:rsidRDefault="002F2050" w:rsidP="002F2050">
      <w:pPr>
        <w:pStyle w:val="BodyText"/>
        <w:numPr>
          <w:ilvl w:val="0"/>
          <w:numId w:val="27"/>
        </w:numPr>
        <w:rPr>
          <w:lang w:eastAsia="de-DE"/>
        </w:rPr>
      </w:pPr>
      <w:r w:rsidRPr="009D00EB">
        <w:rPr>
          <w:lang w:eastAsia="de-DE"/>
        </w:rPr>
        <w:t>Training and skills development.</w:t>
      </w:r>
    </w:p>
    <w:p w14:paraId="78CA88A5" w14:textId="5AF484FE" w:rsidR="004658CF" w:rsidRPr="009D00EB" w:rsidRDefault="00477F53" w:rsidP="002F2050">
      <w:pPr>
        <w:pStyle w:val="BodyText"/>
        <w:numPr>
          <w:ilvl w:val="0"/>
          <w:numId w:val="27"/>
        </w:numPr>
        <w:rPr>
          <w:lang w:eastAsia="de-DE"/>
        </w:rPr>
      </w:pPr>
      <w:r w:rsidRPr="009D00EB">
        <w:rPr>
          <w:lang w:eastAsia="de-DE"/>
        </w:rPr>
        <w:t xml:space="preserve">Sustainable and </w:t>
      </w:r>
      <w:r w:rsidR="00BF23E6" w:rsidRPr="009D00EB">
        <w:rPr>
          <w:lang w:eastAsia="de-DE"/>
        </w:rPr>
        <w:t>environmentally</w:t>
      </w:r>
      <w:r w:rsidRPr="009D00EB">
        <w:rPr>
          <w:lang w:eastAsia="de-DE"/>
        </w:rPr>
        <w:t xml:space="preserve"> friendly manageme</w:t>
      </w:r>
      <w:r w:rsidR="000D0AC9" w:rsidRPr="009D00EB">
        <w:rPr>
          <w:lang w:eastAsia="de-DE"/>
        </w:rPr>
        <w:t xml:space="preserve">nt </w:t>
      </w:r>
      <w:r w:rsidR="00520A89" w:rsidRPr="009D00EB">
        <w:rPr>
          <w:lang w:eastAsia="de-DE"/>
        </w:rPr>
        <w:t>for all AtoN activities.</w:t>
      </w:r>
    </w:p>
    <w:p w14:paraId="719BABB6" w14:textId="22E52214" w:rsidR="002F2050" w:rsidRPr="009D00EB" w:rsidRDefault="002F2050" w:rsidP="002F2050">
      <w:pPr>
        <w:pStyle w:val="BodyText"/>
        <w:numPr>
          <w:ilvl w:val="0"/>
          <w:numId w:val="27"/>
        </w:numPr>
        <w:rPr>
          <w:lang w:eastAsia="de-DE"/>
        </w:rPr>
      </w:pPr>
      <w:r w:rsidRPr="009D00EB">
        <w:rPr>
          <w:lang w:eastAsia="de-DE"/>
        </w:rPr>
        <w:t>Sustainability reporting and aspects/impacts models.</w:t>
      </w:r>
    </w:p>
    <w:p w14:paraId="315792DB" w14:textId="15C6A747" w:rsidR="002F2050" w:rsidRPr="009D00EB" w:rsidRDefault="002F2050" w:rsidP="002F2050">
      <w:pPr>
        <w:pStyle w:val="BodyText"/>
        <w:numPr>
          <w:ilvl w:val="0"/>
          <w:numId w:val="27"/>
        </w:numPr>
        <w:rPr>
          <w:lang w:eastAsia="de-DE"/>
        </w:rPr>
      </w:pPr>
      <w:r w:rsidRPr="009D00EB">
        <w:rPr>
          <w:lang w:eastAsia="de-DE"/>
        </w:rPr>
        <w:t>Cooperation with relevant IGOs and NGOs</w:t>
      </w:r>
      <w:r w:rsidR="00693DD7" w:rsidRPr="009D00EB">
        <w:rPr>
          <w:lang w:eastAsia="de-DE"/>
        </w:rPr>
        <w:t>, capacity building</w:t>
      </w:r>
      <w:r w:rsidR="002B461A">
        <w:rPr>
          <w:lang w:eastAsia="de-DE"/>
        </w:rPr>
        <w:t>.</w:t>
      </w:r>
    </w:p>
    <w:p w14:paraId="27E5741D" w14:textId="447D13A3" w:rsidR="00FC1027" w:rsidRPr="009D00EB" w:rsidRDefault="00FC1027" w:rsidP="002F2050">
      <w:pPr>
        <w:pStyle w:val="BodyText"/>
        <w:numPr>
          <w:ilvl w:val="0"/>
          <w:numId w:val="27"/>
        </w:numPr>
        <w:rPr>
          <w:lang w:eastAsia="de-DE"/>
        </w:rPr>
      </w:pPr>
      <w:r w:rsidRPr="009D00EB">
        <w:rPr>
          <w:lang w:eastAsia="de-DE"/>
        </w:rPr>
        <w:t>Act as the focal body between ARM, ENG, VTS,</w:t>
      </w:r>
      <w:r w:rsidR="009D00EB">
        <w:rPr>
          <w:lang w:eastAsia="de-DE"/>
        </w:rPr>
        <w:t xml:space="preserve"> DTEC</w:t>
      </w:r>
      <w:r w:rsidR="00C75307">
        <w:rPr>
          <w:lang w:eastAsia="de-DE"/>
        </w:rPr>
        <w:t>,</w:t>
      </w:r>
      <w:r w:rsidRPr="009D00EB">
        <w:rPr>
          <w:lang w:eastAsia="de-DE"/>
        </w:rPr>
        <w:t xml:space="preserve"> and WWA for sustainability questions</w:t>
      </w:r>
      <w:r w:rsidR="002B461A">
        <w:rPr>
          <w:lang w:eastAsia="de-DE"/>
        </w:rPr>
        <w:t>.</w:t>
      </w:r>
    </w:p>
    <w:p w14:paraId="13000E7B" w14:textId="0A2D1859" w:rsidR="002F2050" w:rsidRPr="009D00EB" w:rsidRDefault="002F2050" w:rsidP="002F2050">
      <w:pPr>
        <w:pStyle w:val="Heading1"/>
        <w:numPr>
          <w:ilvl w:val="0"/>
          <w:numId w:val="0"/>
        </w:numPr>
      </w:pPr>
      <w:r w:rsidRPr="009D00EB">
        <w:t>Deliverables</w:t>
      </w:r>
    </w:p>
    <w:p w14:paraId="67B29AD0" w14:textId="7FC5B6A3" w:rsidR="002F2050" w:rsidRPr="009D00EB" w:rsidRDefault="002F2050" w:rsidP="002F2050">
      <w:pPr>
        <w:pStyle w:val="BodyText"/>
        <w:numPr>
          <w:ilvl w:val="0"/>
          <w:numId w:val="26"/>
        </w:numPr>
        <w:rPr>
          <w:lang w:eastAsia="de-DE"/>
        </w:rPr>
      </w:pPr>
      <w:r w:rsidRPr="009D00EB">
        <w:rPr>
          <w:lang w:eastAsia="de-DE"/>
        </w:rPr>
        <w:t>Appropriate draft Standards, Recommendations, Guidelines, Model Courses and Manuals, Model Courses and Product Specifications, etc., to fulfil the tasks assigned to the Working Group in the Committee Work Programme</w:t>
      </w:r>
      <w:r w:rsidR="003C1BB5" w:rsidRPr="009D00EB">
        <w:rPr>
          <w:lang w:eastAsia="de-DE"/>
        </w:rPr>
        <w:t>.</w:t>
      </w:r>
    </w:p>
    <w:p w14:paraId="49E9FB26" w14:textId="2B9D2A48" w:rsidR="002F2050" w:rsidRPr="009D00EB" w:rsidRDefault="002F2050" w:rsidP="002F2050">
      <w:pPr>
        <w:pStyle w:val="BodyText"/>
        <w:numPr>
          <w:ilvl w:val="0"/>
          <w:numId w:val="26"/>
        </w:numPr>
        <w:rPr>
          <w:lang w:eastAsia="de-DE"/>
        </w:rPr>
      </w:pPr>
      <w:r w:rsidRPr="009D00EB">
        <w:rPr>
          <w:lang w:eastAsia="de-DE"/>
        </w:rPr>
        <w:t xml:space="preserve">Information and relevant subtasks </w:t>
      </w:r>
      <w:r w:rsidR="002B461A">
        <w:rPr>
          <w:lang w:eastAsia="de-DE"/>
        </w:rPr>
        <w:t xml:space="preserve">are </w:t>
      </w:r>
      <w:r w:rsidRPr="009D00EB">
        <w:rPr>
          <w:lang w:eastAsia="de-DE"/>
        </w:rPr>
        <w:t>requested from other Working Groups within the IALA technical committees for them to fulfil their tasks</w:t>
      </w:r>
      <w:r w:rsidR="003C1BB5" w:rsidRPr="009D00EB">
        <w:rPr>
          <w:lang w:eastAsia="de-DE"/>
        </w:rPr>
        <w:t>.</w:t>
      </w:r>
    </w:p>
    <w:p w14:paraId="3054B5A0" w14:textId="16417EDE" w:rsidR="002F2050" w:rsidRPr="009D00EB" w:rsidRDefault="002F2050" w:rsidP="002F2050">
      <w:pPr>
        <w:pStyle w:val="BodyText"/>
        <w:numPr>
          <w:ilvl w:val="0"/>
          <w:numId w:val="26"/>
        </w:numPr>
        <w:rPr>
          <w:lang w:eastAsia="de-DE"/>
        </w:rPr>
      </w:pPr>
      <w:r w:rsidRPr="009D00EB">
        <w:rPr>
          <w:lang w:eastAsia="de-DE"/>
        </w:rPr>
        <w:t>Draft liaison notes</w:t>
      </w:r>
      <w:r w:rsidR="00EF3FF8" w:rsidRPr="009D00EB">
        <w:rPr>
          <w:lang w:eastAsia="de-DE"/>
        </w:rPr>
        <w:t>,</w:t>
      </w:r>
      <w:r w:rsidRPr="009D00EB">
        <w:rPr>
          <w:lang w:eastAsia="de-DE"/>
        </w:rPr>
        <w:t xml:space="preserve"> etc.</w:t>
      </w:r>
      <w:r w:rsidR="00DF2BD3" w:rsidRPr="009D00EB">
        <w:rPr>
          <w:lang w:eastAsia="de-DE"/>
        </w:rPr>
        <w:t>,</w:t>
      </w:r>
      <w:r w:rsidRPr="009D00EB">
        <w:rPr>
          <w:lang w:eastAsia="de-DE"/>
        </w:rPr>
        <w:t xml:space="preserve"> as appropriate</w:t>
      </w:r>
      <w:r w:rsidR="003C1BB5" w:rsidRPr="009D00EB">
        <w:rPr>
          <w:lang w:eastAsia="de-DE"/>
        </w:rPr>
        <w:t>.</w:t>
      </w:r>
    </w:p>
    <w:p w14:paraId="08952BA0" w14:textId="35E41080" w:rsidR="002F2050" w:rsidRPr="009D00EB" w:rsidRDefault="002F2050" w:rsidP="002F2050">
      <w:pPr>
        <w:pStyle w:val="BodyText"/>
        <w:numPr>
          <w:ilvl w:val="0"/>
          <w:numId w:val="26"/>
        </w:numPr>
        <w:rPr>
          <w:lang w:eastAsia="de-DE"/>
        </w:rPr>
      </w:pPr>
      <w:r w:rsidRPr="009D00EB">
        <w:rPr>
          <w:lang w:eastAsia="de-DE"/>
        </w:rPr>
        <w:t>Technical workshop(s) as detailed in the Committee work programme</w:t>
      </w:r>
      <w:r w:rsidR="00971603" w:rsidRPr="009D00EB">
        <w:rPr>
          <w:lang w:eastAsia="de-DE"/>
        </w:rPr>
        <w:t>.</w:t>
      </w:r>
    </w:p>
    <w:p w14:paraId="37E66283" w14:textId="77777777" w:rsidR="0003452A" w:rsidRPr="009D00EB" w:rsidRDefault="0003452A" w:rsidP="0003452A">
      <w:pPr>
        <w:pStyle w:val="BodyText"/>
        <w:rPr>
          <w:lang w:eastAsia="de-DE"/>
        </w:rPr>
      </w:pPr>
    </w:p>
    <w:p w14:paraId="5F4C5B6F" w14:textId="77777777" w:rsidR="0003452A" w:rsidRPr="009D00EB" w:rsidRDefault="0003452A" w:rsidP="0003452A">
      <w:pPr>
        <w:pStyle w:val="BodyText"/>
        <w:rPr>
          <w:lang w:eastAsia="de-DE"/>
        </w:rPr>
      </w:pPr>
    </w:p>
    <w:p w14:paraId="0BDAC420" w14:textId="7D648E8B" w:rsidR="0093374D" w:rsidRPr="006772BB" w:rsidRDefault="0093374D" w:rsidP="006772BB">
      <w:pPr>
        <w:rPr>
          <w:rFonts w:asciiTheme="minorHAnsi" w:hAnsiTheme="minorHAnsi" w:cstheme="minorHAnsi"/>
          <w:lang w:eastAsia="de-DE"/>
        </w:rPr>
      </w:pPr>
    </w:p>
    <w:p w14:paraId="14E37375" w14:textId="74D11E53" w:rsidR="0093374D" w:rsidRDefault="0093374D">
      <w:pPr>
        <w:rPr>
          <w:rFonts w:asciiTheme="minorHAnsi" w:hAnsiTheme="minorHAnsi" w:cstheme="minorHAnsi"/>
          <w:lang w:eastAsia="de-DE"/>
        </w:rPr>
      </w:pPr>
      <w:r>
        <w:rPr>
          <w:lang w:eastAsia="de-DE"/>
        </w:rPr>
        <w:br w:type="page"/>
      </w:r>
    </w:p>
    <w:p w14:paraId="37CD2D1E" w14:textId="1B210FE7" w:rsidR="0093374D" w:rsidRPr="00DE76A7" w:rsidRDefault="0093374D" w:rsidP="0093374D">
      <w:pPr>
        <w:pStyle w:val="Annex"/>
        <w:numPr>
          <w:ilvl w:val="0"/>
          <w:numId w:val="0"/>
        </w:numPr>
        <w:ind w:left="360"/>
        <w:rPr>
          <w:lang w:eastAsia="de-DE"/>
        </w:rPr>
      </w:pPr>
      <w:r w:rsidRPr="00DE76A7">
        <w:rPr>
          <w:lang w:eastAsia="de-DE"/>
        </w:rPr>
        <w:lastRenderedPageBreak/>
        <w:t xml:space="preserve">Annex </w:t>
      </w:r>
      <w:r w:rsidR="006772BB">
        <w:rPr>
          <w:lang w:eastAsia="de-DE"/>
        </w:rPr>
        <w:t>B</w:t>
      </w:r>
      <w:r w:rsidRPr="00DE76A7">
        <w:rPr>
          <w:lang w:eastAsia="de-DE"/>
        </w:rPr>
        <w:t xml:space="preserve"> </w:t>
      </w:r>
      <w:r>
        <w:rPr>
          <w:lang w:eastAsia="de-DE"/>
        </w:rPr>
        <w:t xml:space="preserve">– Sustainability </w:t>
      </w:r>
      <w:r w:rsidRPr="00DE76A7">
        <w:rPr>
          <w:lang w:eastAsia="de-DE"/>
        </w:rPr>
        <w:t xml:space="preserve">workshop outputs development within </w:t>
      </w:r>
      <w:r w:rsidRPr="00DE76A7">
        <w:rPr>
          <w:lang w:eastAsia="ko-KR"/>
        </w:rPr>
        <w:t>the</w:t>
      </w:r>
      <w:r w:rsidRPr="00DE76A7">
        <w:rPr>
          <w:lang w:eastAsia="de-DE"/>
        </w:rPr>
        <w:t xml:space="preserve"> committees</w:t>
      </w:r>
    </w:p>
    <w:tbl>
      <w:tblPr>
        <w:tblStyle w:val="TableGrid"/>
        <w:tblW w:w="10890" w:type="dxa"/>
        <w:tblInd w:w="-455" w:type="dxa"/>
        <w:tblLayout w:type="fixed"/>
        <w:tblLook w:val="04A0" w:firstRow="1" w:lastRow="0" w:firstColumn="1" w:lastColumn="0" w:noHBand="0" w:noVBand="1"/>
      </w:tblPr>
      <w:tblGrid>
        <w:gridCol w:w="1530"/>
        <w:gridCol w:w="1440"/>
        <w:gridCol w:w="1440"/>
        <w:gridCol w:w="1350"/>
        <w:gridCol w:w="1530"/>
        <w:gridCol w:w="1440"/>
        <w:gridCol w:w="2160"/>
      </w:tblGrid>
      <w:tr w:rsidR="0093374D" w:rsidRPr="00F24E96" w14:paraId="68AADCB0" w14:textId="77777777" w:rsidTr="001727B0">
        <w:trPr>
          <w:tblHeader/>
        </w:trPr>
        <w:tc>
          <w:tcPr>
            <w:tcW w:w="1530" w:type="dxa"/>
          </w:tcPr>
          <w:p w14:paraId="55489C62"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 Working Group</w:t>
            </w:r>
            <w:r w:rsidRPr="00F24E96">
              <w:rPr>
                <w:rFonts w:ascii="Calibri" w:hAnsi="Calibri"/>
                <w:b/>
                <w:bCs/>
                <w:color w:val="365F91" w:themeColor="accent1" w:themeShade="BF"/>
                <w:sz w:val="18"/>
                <w:szCs w:val="18"/>
              </w:rPr>
              <w:t xml:space="preserve"> topic</w:t>
            </w:r>
          </w:p>
        </w:tc>
        <w:tc>
          <w:tcPr>
            <w:tcW w:w="1440" w:type="dxa"/>
          </w:tcPr>
          <w:p w14:paraId="5DA43630" w14:textId="77777777" w:rsidR="0093374D" w:rsidRPr="00F24E96" w:rsidRDefault="0093374D" w:rsidP="001727B0">
            <w:pPr>
              <w:rPr>
                <w:rFonts w:ascii="Calibri" w:hAnsi="Calibri"/>
                <w:b/>
                <w:bCs/>
                <w:color w:val="365F91" w:themeColor="accent1" w:themeShade="BF"/>
                <w:sz w:val="18"/>
                <w:szCs w:val="18"/>
              </w:rPr>
            </w:pPr>
            <w:r>
              <w:rPr>
                <w:rFonts w:ascii="Calibri" w:hAnsi="Calibri"/>
                <w:b/>
                <w:bCs/>
                <w:color w:val="365F91" w:themeColor="accent1" w:themeShade="BF"/>
                <w:sz w:val="18"/>
                <w:szCs w:val="18"/>
              </w:rPr>
              <w:t>Workshop</w:t>
            </w:r>
            <w:r w:rsidRPr="00F24E96">
              <w:rPr>
                <w:rFonts w:ascii="Calibri" w:hAnsi="Calibri"/>
                <w:b/>
                <w:bCs/>
                <w:color w:val="365F91" w:themeColor="accent1" w:themeShade="BF"/>
                <w:sz w:val="18"/>
                <w:szCs w:val="18"/>
              </w:rPr>
              <w:t xml:space="preserve"> Recommendation</w:t>
            </w:r>
          </w:p>
        </w:tc>
        <w:tc>
          <w:tcPr>
            <w:tcW w:w="1440" w:type="dxa"/>
          </w:tcPr>
          <w:p w14:paraId="7FBFC06D"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Related IALA Standard</w:t>
            </w:r>
          </w:p>
        </w:tc>
        <w:tc>
          <w:tcPr>
            <w:tcW w:w="1350" w:type="dxa"/>
          </w:tcPr>
          <w:p w14:paraId="7A461280"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Responsible committee and WG</w:t>
            </w:r>
          </w:p>
        </w:tc>
        <w:tc>
          <w:tcPr>
            <w:tcW w:w="1530" w:type="dxa"/>
          </w:tcPr>
          <w:p w14:paraId="6D40B0E8"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Reference to the WP task</w:t>
            </w:r>
          </w:p>
        </w:tc>
        <w:tc>
          <w:tcPr>
            <w:tcW w:w="1440" w:type="dxa"/>
          </w:tcPr>
          <w:p w14:paraId="65CFB096"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Suggested SDG alignment</w:t>
            </w:r>
          </w:p>
          <w:p w14:paraId="6BB65184" w14:textId="77777777" w:rsidR="0093374D" w:rsidRPr="00F24E96" w:rsidRDefault="0093374D" w:rsidP="001727B0">
            <w:pPr>
              <w:rPr>
                <w:rFonts w:ascii="Calibri" w:hAnsi="Calibri"/>
                <w:b/>
                <w:bCs/>
                <w:color w:val="365F91" w:themeColor="accent1" w:themeShade="BF"/>
                <w:sz w:val="18"/>
                <w:szCs w:val="18"/>
              </w:rPr>
            </w:pPr>
          </w:p>
        </w:tc>
        <w:tc>
          <w:tcPr>
            <w:tcW w:w="2160" w:type="dxa"/>
          </w:tcPr>
          <w:p w14:paraId="4C622BCA" w14:textId="77777777" w:rsidR="0093374D" w:rsidRPr="00F24E96" w:rsidRDefault="0093374D" w:rsidP="001727B0">
            <w:pPr>
              <w:rPr>
                <w:rFonts w:ascii="Calibri" w:hAnsi="Calibri"/>
                <w:b/>
                <w:bCs/>
                <w:color w:val="365F91" w:themeColor="accent1" w:themeShade="BF"/>
                <w:sz w:val="18"/>
                <w:szCs w:val="18"/>
              </w:rPr>
            </w:pPr>
            <w:r w:rsidRPr="00F24E96">
              <w:rPr>
                <w:rFonts w:ascii="Calibri" w:hAnsi="Calibri"/>
                <w:b/>
                <w:bCs/>
                <w:color w:val="365F91" w:themeColor="accent1" w:themeShade="BF"/>
                <w:sz w:val="18"/>
                <w:szCs w:val="18"/>
              </w:rPr>
              <w:t>Proposed actions</w:t>
            </w:r>
          </w:p>
          <w:p w14:paraId="6D36C184" w14:textId="77777777" w:rsidR="0093374D" w:rsidRPr="00F24E96" w:rsidRDefault="0093374D" w:rsidP="001727B0">
            <w:pPr>
              <w:rPr>
                <w:rFonts w:ascii="Calibri" w:hAnsi="Calibri"/>
                <w:b/>
                <w:bCs/>
                <w:color w:val="365F91" w:themeColor="accent1" w:themeShade="BF"/>
                <w:sz w:val="18"/>
                <w:szCs w:val="18"/>
              </w:rPr>
            </w:pPr>
          </w:p>
        </w:tc>
      </w:tr>
      <w:tr w:rsidR="0093374D" w:rsidRPr="00F24E96" w14:paraId="76E396DD" w14:textId="77777777" w:rsidTr="001727B0">
        <w:tc>
          <w:tcPr>
            <w:tcW w:w="1530" w:type="dxa"/>
          </w:tcPr>
          <w:p w14:paraId="7DE12FF7"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42FA0360" w14:textId="77777777" w:rsidR="0093374D" w:rsidRPr="00F24E96" w:rsidRDefault="0093374D" w:rsidP="001727B0">
            <w:pPr>
              <w:rPr>
                <w:rFonts w:ascii="Calibri" w:hAnsi="Calibri"/>
                <w:sz w:val="18"/>
                <w:szCs w:val="18"/>
              </w:rPr>
            </w:pPr>
            <w:r w:rsidRPr="00F24E96">
              <w:rPr>
                <w:rFonts w:ascii="Calibri" w:hAnsi="Calibri"/>
                <w:sz w:val="18"/>
                <w:szCs w:val="18"/>
              </w:rPr>
              <w:t>Climate change — extreme weather, sea-level rise, and physical infrastructure impacts</w:t>
            </w:r>
          </w:p>
        </w:tc>
        <w:tc>
          <w:tcPr>
            <w:tcW w:w="1440" w:type="dxa"/>
          </w:tcPr>
          <w:p w14:paraId="0C606267" w14:textId="77777777" w:rsidR="0093374D" w:rsidRPr="00F24E96" w:rsidRDefault="0093374D" w:rsidP="001727B0">
            <w:pPr>
              <w:rPr>
                <w:rFonts w:ascii="Calibri" w:hAnsi="Calibri"/>
                <w:sz w:val="18"/>
                <w:szCs w:val="18"/>
              </w:rPr>
            </w:pPr>
            <w:r w:rsidRPr="00F24E96">
              <w:rPr>
                <w:rFonts w:ascii="Calibri" w:hAnsi="Calibri"/>
                <w:sz w:val="18"/>
                <w:szCs w:val="18"/>
              </w:rPr>
              <w:t>Incorporate climate projections and local risk assessments into AtoN design, asset specs, and maintenance regimes</w:t>
            </w:r>
          </w:p>
        </w:tc>
        <w:tc>
          <w:tcPr>
            <w:tcW w:w="1440" w:type="dxa"/>
          </w:tcPr>
          <w:p w14:paraId="68ABCBCD"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S1020 (Design and Delivery) </w:t>
            </w:r>
          </w:p>
          <w:p w14:paraId="21B67521" w14:textId="77777777" w:rsidR="0093374D" w:rsidRPr="00F24E96" w:rsidRDefault="0093374D" w:rsidP="001727B0">
            <w:pPr>
              <w:rPr>
                <w:rFonts w:ascii="Calibri" w:hAnsi="Calibri"/>
                <w:sz w:val="18"/>
                <w:szCs w:val="18"/>
              </w:rPr>
            </w:pPr>
            <w:r w:rsidRPr="00F24E96">
              <w:rPr>
                <w:rFonts w:ascii="Calibri" w:hAnsi="Calibri"/>
                <w:sz w:val="18"/>
                <w:szCs w:val="18"/>
              </w:rPr>
              <w:t>2.4 Environment and sustainability</w:t>
            </w:r>
          </w:p>
          <w:p w14:paraId="6FB83DEA" w14:textId="77777777" w:rsidR="0093374D" w:rsidRPr="00F24E96" w:rsidRDefault="0093374D" w:rsidP="001727B0">
            <w:pPr>
              <w:rPr>
                <w:rFonts w:ascii="Calibri" w:hAnsi="Calibri"/>
                <w:sz w:val="18"/>
                <w:szCs w:val="18"/>
              </w:rPr>
            </w:pPr>
            <w:r w:rsidRPr="00F24E96">
              <w:rPr>
                <w:rFonts w:ascii="Calibri" w:hAnsi="Calibri"/>
                <w:sz w:val="18"/>
                <w:szCs w:val="18"/>
              </w:rPr>
              <w:t>S1010 (Planning) 1.4 Risk management</w:t>
            </w:r>
          </w:p>
        </w:tc>
        <w:tc>
          <w:tcPr>
            <w:tcW w:w="1350" w:type="dxa"/>
          </w:tcPr>
          <w:p w14:paraId="0A2C2C6D" w14:textId="77777777" w:rsidR="0093374D" w:rsidRPr="00F24E96" w:rsidRDefault="0093374D" w:rsidP="001727B0">
            <w:pPr>
              <w:rPr>
                <w:rFonts w:ascii="Calibri" w:hAnsi="Calibri"/>
                <w:sz w:val="18"/>
                <w:szCs w:val="18"/>
              </w:rPr>
            </w:pPr>
            <w:r w:rsidRPr="00F24E96">
              <w:rPr>
                <w:rFonts w:ascii="Calibri" w:hAnsi="Calibri"/>
                <w:sz w:val="18"/>
                <w:szCs w:val="18"/>
              </w:rPr>
              <w:t>ENG lead for design and guidance</w:t>
            </w:r>
          </w:p>
          <w:p w14:paraId="5BB11329" w14:textId="77777777" w:rsidR="0093374D" w:rsidRPr="00F24E96" w:rsidRDefault="0093374D" w:rsidP="001727B0">
            <w:pPr>
              <w:rPr>
                <w:rFonts w:ascii="Calibri" w:hAnsi="Calibri"/>
                <w:sz w:val="18"/>
                <w:szCs w:val="18"/>
              </w:rPr>
            </w:pPr>
            <w:r w:rsidRPr="00F24E96">
              <w:rPr>
                <w:rFonts w:ascii="Calibri" w:hAnsi="Calibri"/>
                <w:sz w:val="18"/>
                <w:szCs w:val="18"/>
              </w:rPr>
              <w:t>ARM for risk and planning coordination (liaison with VTS where local operations are affected)</w:t>
            </w:r>
          </w:p>
        </w:tc>
        <w:tc>
          <w:tcPr>
            <w:tcW w:w="1530" w:type="dxa"/>
          </w:tcPr>
          <w:p w14:paraId="3338E34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ENG-2.4.1 (review/update G1036 Green Guide) </w:t>
            </w:r>
          </w:p>
          <w:p w14:paraId="2873533D"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 guidance)</w:t>
            </w:r>
          </w:p>
          <w:p w14:paraId="6B4D1317"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1.4.x on risk assessment tasks</w:t>
            </w:r>
          </w:p>
        </w:tc>
        <w:tc>
          <w:tcPr>
            <w:tcW w:w="1440" w:type="dxa"/>
          </w:tcPr>
          <w:p w14:paraId="06E24196" w14:textId="77777777" w:rsidR="0093374D" w:rsidRPr="00F24E96" w:rsidRDefault="0093374D" w:rsidP="001727B0">
            <w:pPr>
              <w:rPr>
                <w:rFonts w:ascii="Calibri" w:hAnsi="Calibri"/>
                <w:sz w:val="18"/>
                <w:szCs w:val="18"/>
              </w:rPr>
            </w:pPr>
            <w:r w:rsidRPr="00F24E96">
              <w:rPr>
                <w:rFonts w:ascii="Calibri" w:hAnsi="Calibri"/>
                <w:sz w:val="18"/>
                <w:szCs w:val="18"/>
              </w:rPr>
              <w:t>SDG13 (Climate Action)</w:t>
            </w:r>
          </w:p>
          <w:p w14:paraId="30FABE15" w14:textId="77777777" w:rsidR="0093374D" w:rsidRPr="00F24E96" w:rsidRDefault="0093374D" w:rsidP="001727B0">
            <w:pPr>
              <w:rPr>
                <w:rFonts w:ascii="Calibri" w:hAnsi="Calibri"/>
                <w:sz w:val="18"/>
                <w:szCs w:val="18"/>
              </w:rPr>
            </w:pPr>
          </w:p>
          <w:p w14:paraId="1E5AF403" w14:textId="77777777" w:rsidR="0093374D" w:rsidRPr="00F24E96" w:rsidRDefault="0093374D" w:rsidP="001727B0">
            <w:pPr>
              <w:rPr>
                <w:rFonts w:ascii="Calibri" w:hAnsi="Calibri"/>
                <w:sz w:val="18"/>
                <w:szCs w:val="18"/>
              </w:rPr>
            </w:pPr>
            <w:r w:rsidRPr="00F24E96">
              <w:rPr>
                <w:rFonts w:ascii="Calibri" w:hAnsi="Calibri"/>
                <w:sz w:val="18"/>
                <w:szCs w:val="18"/>
              </w:rPr>
              <w:t>SDG11 (Sustainable Cities and Communities)</w:t>
            </w:r>
          </w:p>
        </w:tc>
        <w:tc>
          <w:tcPr>
            <w:tcW w:w="2160" w:type="dxa"/>
          </w:tcPr>
          <w:p w14:paraId="224FDC67" w14:textId="77777777" w:rsidR="0093374D" w:rsidRPr="00F24E96" w:rsidRDefault="0093374D" w:rsidP="001727B0">
            <w:pPr>
              <w:rPr>
                <w:rFonts w:ascii="Calibri" w:hAnsi="Calibri"/>
                <w:sz w:val="18"/>
                <w:szCs w:val="18"/>
              </w:rPr>
            </w:pPr>
            <w:r w:rsidRPr="00F24E96">
              <w:rPr>
                <w:rFonts w:ascii="Calibri" w:hAnsi="Calibri"/>
                <w:sz w:val="18"/>
                <w:szCs w:val="18"/>
              </w:rPr>
              <w:t>Prioritize review/update of G1036 to include climate projections and adaptation</w:t>
            </w:r>
          </w:p>
          <w:p w14:paraId="6CC70F91" w14:textId="77777777" w:rsidR="0093374D" w:rsidRPr="00F24E96" w:rsidRDefault="0093374D" w:rsidP="001727B0">
            <w:pPr>
              <w:rPr>
                <w:rFonts w:ascii="Calibri" w:hAnsi="Calibri"/>
                <w:sz w:val="18"/>
                <w:szCs w:val="18"/>
              </w:rPr>
            </w:pPr>
          </w:p>
          <w:p w14:paraId="2BAD17B3" w14:textId="77777777" w:rsidR="0093374D" w:rsidRPr="00F24E96" w:rsidRDefault="0093374D" w:rsidP="001727B0">
            <w:pPr>
              <w:rPr>
                <w:rFonts w:ascii="Calibri" w:hAnsi="Calibri"/>
                <w:sz w:val="18"/>
                <w:szCs w:val="18"/>
              </w:rPr>
            </w:pPr>
            <w:r w:rsidRPr="00F24E96">
              <w:rPr>
                <w:rFonts w:ascii="Calibri" w:hAnsi="Calibri"/>
                <w:sz w:val="18"/>
                <w:szCs w:val="18"/>
              </w:rPr>
              <w:t>Propose a short annex on the local climate projection checklist for ENG-2.4.1 (G1036)</w:t>
            </w:r>
          </w:p>
          <w:p w14:paraId="2A7308C4" w14:textId="77777777" w:rsidR="0093374D" w:rsidRPr="00F24E96" w:rsidRDefault="0093374D" w:rsidP="001727B0">
            <w:pPr>
              <w:rPr>
                <w:rFonts w:ascii="Calibri" w:hAnsi="Calibri"/>
                <w:sz w:val="18"/>
                <w:szCs w:val="18"/>
              </w:rPr>
            </w:pPr>
          </w:p>
          <w:p w14:paraId="1A241FC5" w14:textId="77777777" w:rsidR="0093374D" w:rsidRPr="00F24E96" w:rsidRDefault="0093374D" w:rsidP="001727B0">
            <w:pPr>
              <w:rPr>
                <w:rFonts w:ascii="Calibri" w:hAnsi="Calibri"/>
                <w:sz w:val="18"/>
                <w:szCs w:val="18"/>
              </w:rPr>
            </w:pPr>
          </w:p>
        </w:tc>
      </w:tr>
      <w:tr w:rsidR="0093374D" w:rsidRPr="00F24E96" w14:paraId="4B8B2B07" w14:textId="77777777" w:rsidTr="001727B0">
        <w:tc>
          <w:tcPr>
            <w:tcW w:w="1530" w:type="dxa"/>
          </w:tcPr>
          <w:p w14:paraId="141F955F"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1AB2255F" w14:textId="77777777" w:rsidR="0093374D" w:rsidRPr="00F24E96" w:rsidRDefault="0093374D" w:rsidP="001727B0">
            <w:pPr>
              <w:rPr>
                <w:rFonts w:ascii="Calibri" w:hAnsi="Calibri"/>
                <w:sz w:val="18"/>
                <w:szCs w:val="18"/>
              </w:rPr>
            </w:pPr>
            <w:r w:rsidRPr="00F24E96">
              <w:rPr>
                <w:rFonts w:ascii="Calibri" w:hAnsi="Calibri"/>
                <w:sz w:val="18"/>
                <w:szCs w:val="18"/>
              </w:rPr>
              <w:t xml:space="preserve">Manufacturer buy-back/reuse/repair </w:t>
            </w:r>
          </w:p>
        </w:tc>
        <w:tc>
          <w:tcPr>
            <w:tcW w:w="1440" w:type="dxa"/>
          </w:tcPr>
          <w:p w14:paraId="3F506868" w14:textId="77777777" w:rsidR="0093374D" w:rsidRPr="00F24E96" w:rsidRDefault="0093374D" w:rsidP="001727B0">
            <w:pPr>
              <w:rPr>
                <w:rFonts w:ascii="Calibri" w:hAnsi="Calibri"/>
                <w:sz w:val="18"/>
                <w:szCs w:val="18"/>
              </w:rPr>
            </w:pPr>
            <w:r w:rsidRPr="00F24E96">
              <w:rPr>
                <w:rFonts w:ascii="Calibri" w:hAnsi="Calibri"/>
                <w:sz w:val="18"/>
                <w:szCs w:val="18"/>
              </w:rPr>
              <w:t>Create guidance with a case-study annex promoting manufacturer take-back, reuse, repairability, and lower EoL cost</w:t>
            </w:r>
          </w:p>
        </w:tc>
        <w:tc>
          <w:tcPr>
            <w:tcW w:w="1440" w:type="dxa"/>
          </w:tcPr>
          <w:p w14:paraId="0AC22EC8" w14:textId="77777777" w:rsidR="0093374D" w:rsidRPr="00F24E96" w:rsidRDefault="0093374D" w:rsidP="001727B0">
            <w:pPr>
              <w:rPr>
                <w:rFonts w:ascii="Calibri" w:hAnsi="Calibri"/>
                <w:sz w:val="18"/>
                <w:szCs w:val="18"/>
              </w:rPr>
            </w:pPr>
            <w:r w:rsidRPr="00F24E96">
              <w:rPr>
                <w:rFonts w:ascii="Calibri" w:hAnsi="Calibri"/>
                <w:sz w:val="18"/>
                <w:szCs w:val="18"/>
              </w:rPr>
              <w:t>S1020.2 Design, Implementation and Maintenance</w:t>
            </w:r>
          </w:p>
          <w:p w14:paraId="56896FB1"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718ECC9D" w14:textId="77777777" w:rsidR="0093374D" w:rsidRPr="00F24E96" w:rsidRDefault="0093374D" w:rsidP="001727B0">
            <w:pPr>
              <w:rPr>
                <w:rFonts w:ascii="Calibri" w:hAnsi="Calibri"/>
                <w:sz w:val="18"/>
                <w:szCs w:val="18"/>
              </w:rPr>
            </w:pPr>
            <w:r w:rsidRPr="00F24E96">
              <w:rPr>
                <w:rFonts w:ascii="Calibri" w:hAnsi="Calibri"/>
                <w:sz w:val="18"/>
                <w:szCs w:val="18"/>
              </w:rPr>
              <w:t>ENG lead (design and sustainability); include ARM for implementation and policy</w:t>
            </w:r>
          </w:p>
        </w:tc>
        <w:tc>
          <w:tcPr>
            <w:tcW w:w="1530" w:type="dxa"/>
          </w:tcPr>
          <w:p w14:paraId="0E4C91C8"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2A816B1E"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41F71FFC" w14:textId="77777777" w:rsidR="0093374D" w:rsidRPr="00F24E96" w:rsidRDefault="0093374D" w:rsidP="001727B0">
            <w:pPr>
              <w:rPr>
                <w:rFonts w:ascii="Calibri" w:hAnsi="Calibri"/>
                <w:sz w:val="18"/>
                <w:szCs w:val="18"/>
              </w:rPr>
            </w:pPr>
            <w:r w:rsidRPr="00F24E96">
              <w:rPr>
                <w:rFonts w:ascii="Calibri" w:hAnsi="Calibri"/>
                <w:sz w:val="18"/>
                <w:szCs w:val="18"/>
              </w:rPr>
              <w:t>ENG-2.2.5 update G1077 Maintenance</w:t>
            </w:r>
          </w:p>
        </w:tc>
        <w:tc>
          <w:tcPr>
            <w:tcW w:w="1440" w:type="dxa"/>
          </w:tcPr>
          <w:p w14:paraId="4092E854" w14:textId="77777777" w:rsidR="0093374D" w:rsidRPr="00F24E96" w:rsidRDefault="0093374D" w:rsidP="001727B0">
            <w:pPr>
              <w:rPr>
                <w:rFonts w:ascii="Calibri" w:hAnsi="Calibri"/>
                <w:sz w:val="18"/>
                <w:szCs w:val="18"/>
              </w:rPr>
            </w:pPr>
            <w:r w:rsidRPr="00F24E96">
              <w:rPr>
                <w:rFonts w:ascii="Calibri" w:hAnsi="Calibri"/>
                <w:sz w:val="18"/>
                <w:szCs w:val="18"/>
              </w:rPr>
              <w:t xml:space="preserve">SDG12; </w:t>
            </w:r>
          </w:p>
          <w:p w14:paraId="5EE7B9ED" w14:textId="77777777" w:rsidR="0093374D" w:rsidRPr="00F24E96" w:rsidRDefault="0093374D" w:rsidP="001727B0">
            <w:pPr>
              <w:rPr>
                <w:rFonts w:ascii="Calibri" w:hAnsi="Calibri"/>
                <w:sz w:val="18"/>
                <w:szCs w:val="18"/>
              </w:rPr>
            </w:pPr>
            <w:r w:rsidRPr="00F24E96">
              <w:rPr>
                <w:rFonts w:ascii="Calibri" w:hAnsi="Calibri"/>
                <w:sz w:val="18"/>
                <w:szCs w:val="18"/>
              </w:rPr>
              <w:t>SDG9 (Industry, Innovation)</w:t>
            </w:r>
          </w:p>
        </w:tc>
        <w:tc>
          <w:tcPr>
            <w:tcW w:w="2160" w:type="dxa"/>
          </w:tcPr>
          <w:p w14:paraId="7AD4AA03" w14:textId="77777777" w:rsidR="0093374D" w:rsidRPr="00F24E96" w:rsidRDefault="0093374D" w:rsidP="001727B0">
            <w:pPr>
              <w:rPr>
                <w:rFonts w:ascii="Calibri" w:hAnsi="Calibri"/>
                <w:sz w:val="18"/>
                <w:szCs w:val="18"/>
              </w:rPr>
            </w:pPr>
            <w:r w:rsidRPr="00F24E96">
              <w:rPr>
                <w:rFonts w:ascii="Calibri" w:hAnsi="Calibri"/>
                <w:sz w:val="18"/>
                <w:szCs w:val="18"/>
              </w:rPr>
              <w:t>Produce Manufacturer Circularity Case Study Pack as annex to G1036 / G1077; link to ENG task ENG-2.2.5 (maintenance) and ENG-2.4.2</w:t>
            </w:r>
          </w:p>
        </w:tc>
      </w:tr>
      <w:tr w:rsidR="0093374D" w:rsidRPr="00F24E96" w14:paraId="201EDAC2" w14:textId="77777777" w:rsidTr="001727B0">
        <w:tc>
          <w:tcPr>
            <w:tcW w:w="1530" w:type="dxa"/>
          </w:tcPr>
          <w:p w14:paraId="34FE81C9"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2C5D87C" w14:textId="77777777" w:rsidR="0093374D" w:rsidRPr="00F24E96" w:rsidRDefault="0093374D" w:rsidP="001727B0">
            <w:pPr>
              <w:rPr>
                <w:rFonts w:ascii="Calibri" w:hAnsi="Calibri"/>
                <w:sz w:val="18"/>
                <w:szCs w:val="18"/>
              </w:rPr>
            </w:pPr>
            <w:r w:rsidRPr="00F24E96">
              <w:rPr>
                <w:rFonts w:ascii="Calibri" w:hAnsi="Calibri"/>
                <w:sz w:val="18"/>
                <w:szCs w:val="18"/>
              </w:rPr>
              <w:t>Vessel optimization / reduced steaming (eco-steaming; availability vs sustainability)</w:t>
            </w:r>
          </w:p>
        </w:tc>
        <w:tc>
          <w:tcPr>
            <w:tcW w:w="1440" w:type="dxa"/>
          </w:tcPr>
          <w:p w14:paraId="1B0EC612" w14:textId="77777777" w:rsidR="0093374D" w:rsidRPr="00F24E96" w:rsidRDefault="0093374D" w:rsidP="001727B0">
            <w:pPr>
              <w:rPr>
                <w:rFonts w:ascii="Calibri" w:hAnsi="Calibri"/>
                <w:sz w:val="18"/>
                <w:szCs w:val="18"/>
              </w:rPr>
            </w:pPr>
            <w:r w:rsidRPr="00F24E96">
              <w:rPr>
                <w:rFonts w:ascii="Calibri" w:hAnsi="Calibri"/>
                <w:sz w:val="18"/>
                <w:szCs w:val="18"/>
              </w:rPr>
              <w:t>Develop an operational decision framework balancing availability objective with environmental impact (e.g., eco-steaming, delayed small-vessel alternatives)</w:t>
            </w:r>
          </w:p>
        </w:tc>
        <w:tc>
          <w:tcPr>
            <w:tcW w:w="1440" w:type="dxa"/>
          </w:tcPr>
          <w:p w14:paraId="20D15CC9" w14:textId="77777777" w:rsidR="0093374D" w:rsidRPr="00F24E96" w:rsidRDefault="0093374D" w:rsidP="001727B0">
            <w:pPr>
              <w:rPr>
                <w:rFonts w:ascii="Calibri" w:hAnsi="Calibri"/>
                <w:sz w:val="18"/>
                <w:szCs w:val="18"/>
              </w:rPr>
            </w:pPr>
            <w:r w:rsidRPr="00F24E96">
              <w:rPr>
                <w:rFonts w:ascii="Calibri" w:hAnsi="Calibri"/>
                <w:sz w:val="18"/>
                <w:szCs w:val="18"/>
              </w:rPr>
              <w:t>S1010.3 Levels of Service (availability)</w:t>
            </w:r>
          </w:p>
          <w:p w14:paraId="1AE13FFF" w14:textId="77777777" w:rsidR="0093374D" w:rsidRPr="00F24E96" w:rsidRDefault="0093374D" w:rsidP="001727B0">
            <w:pPr>
              <w:rPr>
                <w:rFonts w:ascii="Calibri" w:hAnsi="Calibri"/>
                <w:sz w:val="18"/>
                <w:szCs w:val="18"/>
              </w:rPr>
            </w:pPr>
          </w:p>
          <w:p w14:paraId="4E60DD39"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7513A766" w14:textId="77777777" w:rsidR="0093374D" w:rsidRPr="00F24E96" w:rsidRDefault="0093374D" w:rsidP="001727B0">
            <w:pPr>
              <w:rPr>
                <w:rFonts w:ascii="Calibri" w:hAnsi="Calibri"/>
                <w:sz w:val="18"/>
                <w:szCs w:val="18"/>
              </w:rPr>
            </w:pPr>
            <w:r w:rsidRPr="00F24E96">
              <w:rPr>
                <w:rFonts w:ascii="Calibri" w:hAnsi="Calibri"/>
                <w:sz w:val="18"/>
                <w:szCs w:val="18"/>
              </w:rPr>
              <w:t>ARM lead (availability and risk)</w:t>
            </w:r>
          </w:p>
          <w:p w14:paraId="0E09F024" w14:textId="77777777" w:rsidR="0093374D" w:rsidRPr="00F24E96" w:rsidRDefault="0093374D" w:rsidP="001727B0">
            <w:pPr>
              <w:rPr>
                <w:rFonts w:ascii="Calibri" w:hAnsi="Calibri"/>
                <w:sz w:val="18"/>
                <w:szCs w:val="18"/>
              </w:rPr>
            </w:pPr>
          </w:p>
          <w:p w14:paraId="2E4E40C3"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for technical guidance </w:t>
            </w:r>
          </w:p>
          <w:p w14:paraId="0B174EB6" w14:textId="77777777" w:rsidR="0093374D" w:rsidRPr="00F24E96" w:rsidRDefault="0093374D" w:rsidP="001727B0">
            <w:pPr>
              <w:rPr>
                <w:rFonts w:ascii="Calibri" w:hAnsi="Calibri"/>
                <w:sz w:val="18"/>
                <w:szCs w:val="18"/>
              </w:rPr>
            </w:pPr>
          </w:p>
          <w:p w14:paraId="183355BD" w14:textId="77777777" w:rsidR="0093374D" w:rsidRPr="00F24E96" w:rsidRDefault="0093374D" w:rsidP="001727B0">
            <w:pPr>
              <w:rPr>
                <w:rFonts w:ascii="Calibri" w:hAnsi="Calibri"/>
                <w:sz w:val="18"/>
                <w:szCs w:val="18"/>
              </w:rPr>
            </w:pPr>
            <w:r w:rsidRPr="00F24E96">
              <w:rPr>
                <w:rFonts w:ascii="Calibri" w:hAnsi="Calibri"/>
                <w:sz w:val="18"/>
                <w:szCs w:val="18"/>
              </w:rPr>
              <w:t>liaison with ARM WG3 / ENG WG3</w:t>
            </w:r>
          </w:p>
        </w:tc>
        <w:tc>
          <w:tcPr>
            <w:tcW w:w="1530" w:type="dxa"/>
          </w:tcPr>
          <w:p w14:paraId="046D014A" w14:textId="77777777" w:rsidR="0093374D" w:rsidRPr="00F24E96" w:rsidRDefault="0093374D" w:rsidP="001727B0">
            <w:pPr>
              <w:rPr>
                <w:rFonts w:ascii="Calibri" w:hAnsi="Calibri"/>
                <w:sz w:val="18"/>
                <w:szCs w:val="18"/>
              </w:rPr>
            </w:pPr>
            <w:r w:rsidRPr="00F24E96">
              <w:rPr>
                <w:rFonts w:ascii="Calibri" w:hAnsi="Calibri"/>
                <w:sz w:val="18"/>
                <w:szCs w:val="18"/>
              </w:rPr>
              <w:t>ARM tasks on availability/quality: ARM-1.5.1 and ARM-1.4.5 (risk quantification); ARM-1.4.11 waterway risk monitoring.</w:t>
            </w:r>
          </w:p>
        </w:tc>
        <w:tc>
          <w:tcPr>
            <w:tcW w:w="1440" w:type="dxa"/>
          </w:tcPr>
          <w:p w14:paraId="64D72E40" w14:textId="77777777" w:rsidR="0093374D" w:rsidRPr="00F24E96" w:rsidRDefault="0093374D" w:rsidP="001727B0">
            <w:pPr>
              <w:rPr>
                <w:rFonts w:ascii="Calibri" w:hAnsi="Calibri"/>
                <w:sz w:val="18"/>
                <w:szCs w:val="18"/>
              </w:rPr>
            </w:pPr>
            <w:r w:rsidRPr="00F24E96">
              <w:rPr>
                <w:rFonts w:ascii="Calibri" w:hAnsi="Calibri"/>
                <w:sz w:val="18"/>
                <w:szCs w:val="18"/>
              </w:rPr>
              <w:t xml:space="preserve">SDG13; </w:t>
            </w:r>
          </w:p>
          <w:p w14:paraId="2E163A32" w14:textId="77777777" w:rsidR="0093374D" w:rsidRPr="00F24E96" w:rsidRDefault="0093374D" w:rsidP="001727B0">
            <w:pPr>
              <w:rPr>
                <w:rFonts w:ascii="Calibri" w:hAnsi="Calibri"/>
                <w:sz w:val="18"/>
                <w:szCs w:val="18"/>
              </w:rPr>
            </w:pPr>
            <w:r w:rsidRPr="00F24E96">
              <w:rPr>
                <w:rFonts w:ascii="Calibri" w:hAnsi="Calibri"/>
                <w:sz w:val="18"/>
                <w:szCs w:val="18"/>
              </w:rPr>
              <w:t>SDG12</w:t>
            </w:r>
          </w:p>
        </w:tc>
        <w:tc>
          <w:tcPr>
            <w:tcW w:w="2160" w:type="dxa"/>
          </w:tcPr>
          <w:p w14:paraId="25C36E0D"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Propose a paper for ARM to define acceptable availability flex points and an operational decision tree (low/medium/high environmental impact scenarios). </w:t>
            </w:r>
          </w:p>
          <w:p w14:paraId="5561B30D" w14:textId="77777777" w:rsidR="0093374D" w:rsidRPr="00F24E96" w:rsidRDefault="0093374D" w:rsidP="001727B0">
            <w:pPr>
              <w:rPr>
                <w:rFonts w:ascii="Calibri" w:hAnsi="Calibri"/>
                <w:sz w:val="18"/>
                <w:szCs w:val="18"/>
              </w:rPr>
            </w:pPr>
            <w:r w:rsidRPr="00F24E96">
              <w:rPr>
                <w:rFonts w:ascii="Calibri" w:hAnsi="Calibri"/>
                <w:sz w:val="18"/>
                <w:szCs w:val="18"/>
              </w:rPr>
              <w:t xml:space="preserve">Link to existing availability guideline consolidation (ARM-1.5.1). </w:t>
            </w:r>
          </w:p>
        </w:tc>
      </w:tr>
      <w:tr w:rsidR="0093374D" w:rsidRPr="00F24E96" w14:paraId="7055A9A8" w14:textId="77777777" w:rsidTr="001727B0">
        <w:tc>
          <w:tcPr>
            <w:tcW w:w="1530" w:type="dxa"/>
          </w:tcPr>
          <w:p w14:paraId="5ABB009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5311AE70" w14:textId="77777777" w:rsidR="0093374D" w:rsidRPr="00F24E96" w:rsidRDefault="0093374D" w:rsidP="001727B0">
            <w:pPr>
              <w:rPr>
                <w:rFonts w:ascii="Calibri" w:hAnsi="Calibri"/>
                <w:sz w:val="18"/>
                <w:szCs w:val="18"/>
              </w:rPr>
            </w:pPr>
            <w:r w:rsidRPr="00F24E96">
              <w:rPr>
                <w:rFonts w:ascii="Calibri" w:hAnsi="Calibri"/>
                <w:sz w:val="18"/>
                <w:szCs w:val="18"/>
              </w:rPr>
              <w:t>Carbon footprint: guidance on calculation, baselines, objectives</w:t>
            </w:r>
          </w:p>
        </w:tc>
        <w:tc>
          <w:tcPr>
            <w:tcW w:w="1440" w:type="dxa"/>
          </w:tcPr>
          <w:p w14:paraId="685DF0E0" w14:textId="77777777" w:rsidR="0093374D" w:rsidRPr="00F24E96" w:rsidRDefault="0093374D" w:rsidP="001727B0">
            <w:pPr>
              <w:rPr>
                <w:rFonts w:ascii="Calibri" w:hAnsi="Calibri"/>
                <w:sz w:val="18"/>
                <w:szCs w:val="18"/>
              </w:rPr>
            </w:pPr>
            <w:r w:rsidRPr="00F24E96">
              <w:rPr>
                <w:rFonts w:ascii="Calibri" w:hAnsi="Calibri"/>
                <w:sz w:val="18"/>
                <w:szCs w:val="18"/>
              </w:rPr>
              <w:t>Provide tools and methodology (simple calculator with reporting template) for AtoN organizations</w:t>
            </w:r>
          </w:p>
        </w:tc>
        <w:tc>
          <w:tcPr>
            <w:tcW w:w="1440" w:type="dxa"/>
          </w:tcPr>
          <w:p w14:paraId="76EEBAAE" w14:textId="77777777" w:rsidR="0093374D" w:rsidRPr="00F24E96" w:rsidRDefault="0093374D" w:rsidP="001727B0">
            <w:pPr>
              <w:rPr>
                <w:rFonts w:ascii="Calibri" w:hAnsi="Calibri"/>
                <w:sz w:val="18"/>
                <w:szCs w:val="18"/>
              </w:rPr>
            </w:pPr>
            <w:r w:rsidRPr="00F24E96">
              <w:rPr>
                <w:rFonts w:ascii="Calibri" w:hAnsi="Calibri"/>
                <w:sz w:val="18"/>
                <w:szCs w:val="18"/>
              </w:rPr>
              <w:t>S1010 (Planning and Quality)</w:t>
            </w:r>
          </w:p>
          <w:p w14:paraId="3F7CA856" w14:textId="77777777" w:rsidR="0093374D" w:rsidRPr="00F24E96" w:rsidRDefault="0093374D" w:rsidP="001727B0">
            <w:pPr>
              <w:rPr>
                <w:rFonts w:ascii="Calibri" w:hAnsi="Calibri"/>
                <w:sz w:val="18"/>
                <w:szCs w:val="18"/>
              </w:rPr>
            </w:pPr>
          </w:p>
          <w:p w14:paraId="2C52C04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for capacity building</w:t>
            </w:r>
          </w:p>
        </w:tc>
        <w:tc>
          <w:tcPr>
            <w:tcW w:w="1350" w:type="dxa"/>
          </w:tcPr>
          <w:p w14:paraId="7DA79093"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lead for operational metrics; ENG/DTEC support (equipment and digital reporting); </w:t>
            </w:r>
          </w:p>
          <w:p w14:paraId="2062525D" w14:textId="77777777" w:rsidR="0093374D" w:rsidRPr="00F24E96" w:rsidRDefault="0093374D" w:rsidP="001727B0">
            <w:pPr>
              <w:rPr>
                <w:rFonts w:ascii="Calibri" w:hAnsi="Calibri"/>
                <w:sz w:val="18"/>
                <w:szCs w:val="18"/>
              </w:rPr>
            </w:pPr>
          </w:p>
          <w:p w14:paraId="76FE701B" w14:textId="77777777" w:rsidR="0093374D" w:rsidRPr="00F24E96" w:rsidRDefault="0093374D" w:rsidP="001727B0">
            <w:pPr>
              <w:rPr>
                <w:rFonts w:ascii="Calibri" w:hAnsi="Calibri"/>
                <w:sz w:val="18"/>
                <w:szCs w:val="18"/>
              </w:rPr>
            </w:pPr>
            <w:r w:rsidRPr="00F24E96">
              <w:rPr>
                <w:rFonts w:ascii="Calibri" w:hAnsi="Calibri"/>
                <w:sz w:val="18"/>
                <w:szCs w:val="18"/>
              </w:rPr>
              <w:t>WWA for training module</w:t>
            </w:r>
          </w:p>
        </w:tc>
        <w:tc>
          <w:tcPr>
            <w:tcW w:w="1530" w:type="dxa"/>
          </w:tcPr>
          <w:p w14:paraId="1A1FB01A" w14:textId="77777777" w:rsidR="0093374D" w:rsidRPr="00F24E96" w:rsidRDefault="0093374D" w:rsidP="001727B0">
            <w:pPr>
              <w:rPr>
                <w:rFonts w:ascii="Calibri" w:hAnsi="Calibri"/>
                <w:sz w:val="18"/>
                <w:szCs w:val="18"/>
              </w:rPr>
            </w:pPr>
            <w:r w:rsidRPr="00F24E96">
              <w:rPr>
                <w:rFonts w:ascii="Calibri" w:hAnsi="Calibri"/>
                <w:sz w:val="18"/>
                <w:szCs w:val="18"/>
              </w:rPr>
              <w:t>ARM</w:t>
            </w:r>
            <w:r w:rsidRPr="00F24E96">
              <w:rPr>
                <w:rFonts w:ascii="Calibri" w:hAnsi="Calibri" w:hint="eastAsia"/>
                <w:sz w:val="18"/>
                <w:szCs w:val="18"/>
                <w:lang w:eastAsia="ko-KR"/>
              </w:rPr>
              <w:t>-</w:t>
            </w:r>
            <w:r w:rsidRPr="00F24E96">
              <w:rPr>
                <w:rFonts w:ascii="Calibri" w:hAnsi="Calibri"/>
                <w:sz w:val="18"/>
                <w:szCs w:val="18"/>
              </w:rPr>
              <w:t xml:space="preserve">1.4.11 (monitor waterway risk/metrics) </w:t>
            </w:r>
          </w:p>
          <w:p w14:paraId="4CB38553" w14:textId="77777777" w:rsidR="0093374D" w:rsidRPr="00F24E96" w:rsidRDefault="0093374D" w:rsidP="001727B0">
            <w:pPr>
              <w:rPr>
                <w:rFonts w:ascii="Calibri" w:hAnsi="Calibri"/>
                <w:sz w:val="18"/>
                <w:szCs w:val="18"/>
              </w:rPr>
            </w:pPr>
            <w:r w:rsidRPr="00F24E96">
              <w:rPr>
                <w:rFonts w:ascii="Calibri" w:hAnsi="Calibri"/>
                <w:sz w:val="18"/>
                <w:szCs w:val="18"/>
              </w:rPr>
              <w:t>DTEC</w:t>
            </w:r>
            <w:r w:rsidRPr="00F24E96">
              <w:rPr>
                <w:rFonts w:ascii="Calibri" w:hAnsi="Calibri" w:hint="eastAsia"/>
                <w:sz w:val="18"/>
                <w:szCs w:val="18"/>
                <w:lang w:eastAsia="ko-KR"/>
              </w:rPr>
              <w:t>-</w:t>
            </w:r>
            <w:r w:rsidRPr="00F24E96">
              <w:rPr>
                <w:rFonts w:ascii="Calibri" w:hAnsi="Calibri"/>
                <w:sz w:val="18"/>
                <w:szCs w:val="18"/>
              </w:rPr>
              <w:t xml:space="preserve">5.1.2 (training in digital solutions) </w:t>
            </w:r>
          </w:p>
          <w:p w14:paraId="1E0E9D9E" w14:textId="77777777" w:rsidR="0093374D" w:rsidRPr="00F24E96" w:rsidRDefault="0093374D" w:rsidP="001727B0">
            <w:pPr>
              <w:rPr>
                <w:rFonts w:ascii="Calibri" w:hAnsi="Calibri"/>
                <w:sz w:val="18"/>
                <w:szCs w:val="18"/>
              </w:rPr>
            </w:pPr>
            <w:r w:rsidRPr="00F24E96">
              <w:rPr>
                <w:rFonts w:ascii="Calibri" w:hAnsi="Calibri"/>
                <w:sz w:val="18"/>
                <w:szCs w:val="18"/>
              </w:rPr>
              <w:t>ARM-5.1.4 (AIS Data Management) for data support</w:t>
            </w:r>
          </w:p>
        </w:tc>
        <w:tc>
          <w:tcPr>
            <w:tcW w:w="1440" w:type="dxa"/>
          </w:tcPr>
          <w:p w14:paraId="31C16F6C" w14:textId="77777777" w:rsidR="0093374D" w:rsidRPr="00F24E96" w:rsidRDefault="0093374D" w:rsidP="001727B0">
            <w:pPr>
              <w:rPr>
                <w:rFonts w:ascii="Calibri" w:hAnsi="Calibri"/>
                <w:sz w:val="18"/>
                <w:szCs w:val="18"/>
              </w:rPr>
            </w:pPr>
            <w:r w:rsidRPr="00F24E96">
              <w:rPr>
                <w:rFonts w:ascii="Calibri" w:hAnsi="Calibri"/>
                <w:sz w:val="18"/>
                <w:szCs w:val="18"/>
              </w:rPr>
              <w:t>SDG13; SDG7; SDG12</w:t>
            </w:r>
          </w:p>
        </w:tc>
        <w:tc>
          <w:tcPr>
            <w:tcW w:w="2160" w:type="dxa"/>
          </w:tcPr>
          <w:p w14:paraId="64DC3E7A" w14:textId="77777777" w:rsidR="0093374D" w:rsidRPr="00F24E96" w:rsidRDefault="0093374D" w:rsidP="001727B0">
            <w:pPr>
              <w:rPr>
                <w:rFonts w:ascii="Calibri" w:hAnsi="Calibri"/>
                <w:sz w:val="18"/>
                <w:szCs w:val="18"/>
              </w:rPr>
            </w:pPr>
            <w:r w:rsidRPr="00F24E96">
              <w:rPr>
                <w:rFonts w:ascii="Calibri" w:hAnsi="Calibri"/>
                <w:sz w:val="18"/>
                <w:szCs w:val="18"/>
              </w:rPr>
              <w:t>Short deliverable: IALA Carbon and Emissions Reporting Toolkit (spreadsheet, methodology, training module). Recommend ARM lead with the DTEC tool for data integration.</w:t>
            </w:r>
          </w:p>
        </w:tc>
      </w:tr>
      <w:tr w:rsidR="0093374D" w:rsidRPr="00F24E96" w14:paraId="32009D52" w14:textId="77777777" w:rsidTr="001727B0">
        <w:tc>
          <w:tcPr>
            <w:tcW w:w="1530" w:type="dxa"/>
          </w:tcPr>
          <w:p w14:paraId="215A7BFB"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WG1</w:t>
            </w:r>
            <w:r>
              <w:rPr>
                <w:rFonts w:ascii="Calibri" w:hAnsi="Calibri"/>
                <w:sz w:val="18"/>
                <w:szCs w:val="18"/>
              </w:rPr>
              <w:t>)</w:t>
            </w:r>
          </w:p>
          <w:p w14:paraId="27532008" w14:textId="77777777" w:rsidR="0093374D" w:rsidRPr="00F24E96" w:rsidRDefault="0093374D" w:rsidP="001727B0">
            <w:pPr>
              <w:rPr>
                <w:rFonts w:ascii="Calibri" w:hAnsi="Calibri"/>
                <w:sz w:val="18"/>
                <w:szCs w:val="18"/>
              </w:rPr>
            </w:pPr>
            <w:r w:rsidRPr="00F24E96">
              <w:rPr>
                <w:rFonts w:ascii="Calibri" w:hAnsi="Calibri"/>
                <w:sz w:val="18"/>
                <w:szCs w:val="18"/>
              </w:rPr>
              <w:t>Data / observational data siloed — use for vulnerability mapping and predictive maintenance</w:t>
            </w:r>
          </w:p>
        </w:tc>
        <w:tc>
          <w:tcPr>
            <w:tcW w:w="1440" w:type="dxa"/>
          </w:tcPr>
          <w:p w14:paraId="3B009033" w14:textId="77777777" w:rsidR="0093374D" w:rsidRPr="00F24E96" w:rsidRDefault="0093374D" w:rsidP="001727B0">
            <w:pPr>
              <w:rPr>
                <w:rFonts w:ascii="Calibri" w:hAnsi="Calibri"/>
                <w:sz w:val="18"/>
                <w:szCs w:val="18"/>
              </w:rPr>
            </w:pPr>
            <w:r w:rsidRPr="00F24E96">
              <w:rPr>
                <w:rFonts w:ascii="Calibri" w:hAnsi="Calibri"/>
                <w:sz w:val="18"/>
                <w:szCs w:val="18"/>
              </w:rPr>
              <w:t>Create guidance on data sharing, formats, and case studies for predictive maintenance and climate risk mapping</w:t>
            </w:r>
          </w:p>
        </w:tc>
        <w:tc>
          <w:tcPr>
            <w:tcW w:w="1440" w:type="dxa"/>
          </w:tcPr>
          <w:p w14:paraId="1FA8BE56"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S1070 (Informational Services)  </w:t>
            </w:r>
          </w:p>
          <w:p w14:paraId="279A997F" w14:textId="77777777" w:rsidR="0093374D" w:rsidRPr="00F24E96" w:rsidRDefault="0093374D" w:rsidP="001727B0">
            <w:pPr>
              <w:rPr>
                <w:rFonts w:ascii="Calibri" w:hAnsi="Calibri"/>
                <w:sz w:val="18"/>
                <w:szCs w:val="18"/>
              </w:rPr>
            </w:pPr>
          </w:p>
          <w:p w14:paraId="70FF7613" w14:textId="77777777" w:rsidR="0093374D" w:rsidRPr="00F24E96" w:rsidRDefault="0093374D" w:rsidP="001727B0">
            <w:pPr>
              <w:rPr>
                <w:rFonts w:ascii="Calibri" w:hAnsi="Calibri"/>
                <w:sz w:val="18"/>
                <w:szCs w:val="18"/>
              </w:rPr>
            </w:pPr>
            <w:r w:rsidRPr="00F24E96">
              <w:rPr>
                <w:rFonts w:ascii="Calibri" w:hAnsi="Calibri"/>
                <w:sz w:val="18"/>
                <w:szCs w:val="18"/>
              </w:rPr>
              <w:t>S1020.2 Design and Delivery (data collection, G1037)</w:t>
            </w:r>
          </w:p>
        </w:tc>
        <w:tc>
          <w:tcPr>
            <w:tcW w:w="1350" w:type="dxa"/>
          </w:tcPr>
          <w:p w14:paraId="1361A80C" w14:textId="77777777" w:rsidR="0093374D" w:rsidRPr="00F24E96" w:rsidRDefault="0093374D" w:rsidP="001727B0">
            <w:pPr>
              <w:rPr>
                <w:rFonts w:ascii="Calibri" w:hAnsi="Calibri"/>
                <w:sz w:val="18"/>
                <w:szCs w:val="18"/>
              </w:rPr>
            </w:pPr>
            <w:r w:rsidRPr="00F24E96">
              <w:rPr>
                <w:rFonts w:ascii="Calibri" w:hAnsi="Calibri"/>
                <w:sz w:val="18"/>
                <w:szCs w:val="18"/>
              </w:rPr>
              <w:t>ARM (data coordination)</w:t>
            </w:r>
          </w:p>
          <w:p w14:paraId="247892A0"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 (data models / S-100) </w:t>
            </w:r>
          </w:p>
          <w:p w14:paraId="409DDBCB" w14:textId="77777777" w:rsidR="0093374D" w:rsidRPr="00F24E96" w:rsidRDefault="0093374D" w:rsidP="001727B0">
            <w:pPr>
              <w:rPr>
                <w:rFonts w:ascii="Calibri" w:hAnsi="Calibri"/>
                <w:sz w:val="18"/>
                <w:szCs w:val="18"/>
              </w:rPr>
            </w:pPr>
            <w:r w:rsidRPr="00F24E96">
              <w:rPr>
                <w:rFonts w:ascii="Calibri" w:hAnsi="Calibri"/>
                <w:sz w:val="18"/>
                <w:szCs w:val="18"/>
              </w:rPr>
              <w:t>ENG (performance collection)</w:t>
            </w:r>
          </w:p>
        </w:tc>
        <w:tc>
          <w:tcPr>
            <w:tcW w:w="1530" w:type="dxa"/>
          </w:tcPr>
          <w:p w14:paraId="0305C228"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ARM-7.1.14 (AtoN info technical service specs) ENG-2.2.4 (update G1037 data collection) </w:t>
            </w:r>
          </w:p>
          <w:p w14:paraId="0EF62FFB" w14:textId="77777777" w:rsidR="0093374D" w:rsidRPr="00F24E96" w:rsidRDefault="0093374D" w:rsidP="001727B0">
            <w:pPr>
              <w:rPr>
                <w:rFonts w:ascii="Calibri" w:hAnsi="Calibri"/>
                <w:sz w:val="18"/>
                <w:szCs w:val="18"/>
              </w:rPr>
            </w:pPr>
            <w:r w:rsidRPr="00F24E96">
              <w:rPr>
                <w:rFonts w:ascii="Calibri" w:hAnsi="Calibri"/>
                <w:sz w:val="18"/>
                <w:szCs w:val="18"/>
              </w:rPr>
              <w:t>DTEC tasks for S-100/MSR</w:t>
            </w:r>
          </w:p>
        </w:tc>
        <w:tc>
          <w:tcPr>
            <w:tcW w:w="1440" w:type="dxa"/>
          </w:tcPr>
          <w:p w14:paraId="159B738D"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07AC97A8"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ARM lead to define a minimal dataset and a data-sharing template (privacy/consent) </w:t>
            </w:r>
          </w:p>
          <w:p w14:paraId="0342BAB0" w14:textId="77777777" w:rsidR="0093374D" w:rsidRPr="00F24E96" w:rsidRDefault="0093374D" w:rsidP="001727B0">
            <w:pPr>
              <w:rPr>
                <w:rFonts w:ascii="Calibri" w:hAnsi="Calibri"/>
                <w:sz w:val="18"/>
                <w:szCs w:val="18"/>
              </w:rPr>
            </w:pPr>
            <w:r w:rsidRPr="00F24E96">
              <w:rPr>
                <w:rFonts w:ascii="Calibri" w:hAnsi="Calibri"/>
                <w:sz w:val="18"/>
                <w:szCs w:val="18"/>
              </w:rPr>
              <w:t>DTEC to map to S-100 product specifications (ARM-7.1.14 / ENG-2.2.4) Could feed into living digital twin pilots</w:t>
            </w:r>
          </w:p>
        </w:tc>
      </w:tr>
      <w:tr w:rsidR="0093374D" w:rsidRPr="00F24E96" w14:paraId="53DE6449" w14:textId="77777777" w:rsidTr="001727B0">
        <w:tc>
          <w:tcPr>
            <w:tcW w:w="1530" w:type="dxa"/>
          </w:tcPr>
          <w:p w14:paraId="5CA03326" w14:textId="77777777" w:rsidR="0093374D" w:rsidRPr="00F24E96" w:rsidRDefault="0093374D" w:rsidP="001727B0">
            <w:pPr>
              <w:rPr>
                <w:rFonts w:ascii="Calibri" w:hAnsi="Calibri"/>
                <w:sz w:val="18"/>
                <w:szCs w:val="18"/>
              </w:rPr>
            </w:pPr>
            <w:r w:rsidRPr="00F24E96">
              <w:rPr>
                <w:rFonts w:ascii="Calibri" w:hAnsi="Calibri"/>
                <w:sz w:val="18"/>
                <w:szCs w:val="18"/>
              </w:rPr>
              <w:t>WG2</w:t>
            </w:r>
          </w:p>
          <w:p w14:paraId="08D719EA"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IoT and low-power monitoring, </w:t>
            </w:r>
            <w:r w:rsidRPr="00F24E96">
              <w:rPr>
                <w:rFonts w:ascii="Calibri" w:hAnsi="Calibri"/>
                <w:sz w:val="18"/>
                <w:szCs w:val="18"/>
              </w:rPr>
              <w:lastRenderedPageBreak/>
              <w:t>drones for inspection</w:t>
            </w:r>
          </w:p>
        </w:tc>
        <w:tc>
          <w:tcPr>
            <w:tcW w:w="1440" w:type="dxa"/>
          </w:tcPr>
          <w:p w14:paraId="3F09E91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Develop guidance on minimal sensor specifications, </w:t>
            </w:r>
            <w:r w:rsidRPr="00F24E96">
              <w:rPr>
                <w:rFonts w:ascii="Calibri" w:hAnsi="Calibri"/>
                <w:sz w:val="18"/>
                <w:szCs w:val="18"/>
              </w:rPr>
              <w:lastRenderedPageBreak/>
              <w:t>data messaging (low-power), and drones for pre-inspection to reduce vessel use</w:t>
            </w:r>
          </w:p>
        </w:tc>
        <w:tc>
          <w:tcPr>
            <w:tcW w:w="1440" w:type="dxa"/>
          </w:tcPr>
          <w:p w14:paraId="7A3F20D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S1020.5 Power systems </w:t>
            </w:r>
          </w:p>
          <w:p w14:paraId="62DAE47D" w14:textId="77777777" w:rsidR="0093374D" w:rsidRPr="00F24E96" w:rsidRDefault="0093374D" w:rsidP="001727B0">
            <w:pPr>
              <w:rPr>
                <w:rFonts w:ascii="Calibri" w:hAnsi="Calibri"/>
                <w:sz w:val="18"/>
                <w:szCs w:val="18"/>
              </w:rPr>
            </w:pPr>
          </w:p>
          <w:p w14:paraId="027C854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S1060 Digital comms </w:t>
            </w:r>
          </w:p>
          <w:p w14:paraId="7E119D8D" w14:textId="77777777" w:rsidR="0093374D" w:rsidRPr="00F24E96" w:rsidRDefault="0093374D" w:rsidP="001727B0">
            <w:pPr>
              <w:rPr>
                <w:rFonts w:ascii="Calibri" w:hAnsi="Calibri"/>
                <w:sz w:val="18"/>
                <w:szCs w:val="18"/>
              </w:rPr>
            </w:pPr>
          </w:p>
          <w:p w14:paraId="04D6233D"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tc>
        <w:tc>
          <w:tcPr>
            <w:tcW w:w="1350" w:type="dxa"/>
          </w:tcPr>
          <w:p w14:paraId="26128CB1"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 for IoT sensor requirements </w:t>
            </w:r>
          </w:p>
          <w:p w14:paraId="30AC1840"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ENG for power and structural considerations</w:t>
            </w:r>
          </w:p>
          <w:p w14:paraId="552B20B2" w14:textId="77777777" w:rsidR="0093374D" w:rsidRPr="00F24E96" w:rsidRDefault="0093374D" w:rsidP="001727B0">
            <w:pPr>
              <w:rPr>
                <w:rFonts w:ascii="Calibri" w:hAnsi="Calibri"/>
                <w:sz w:val="18"/>
                <w:szCs w:val="18"/>
              </w:rPr>
            </w:pPr>
            <w:r w:rsidRPr="00F24E96">
              <w:rPr>
                <w:rFonts w:ascii="Calibri" w:hAnsi="Calibri"/>
                <w:sz w:val="18"/>
                <w:szCs w:val="18"/>
              </w:rPr>
              <w:t>VTS liaison for drone ops</w:t>
            </w:r>
          </w:p>
        </w:tc>
        <w:tc>
          <w:tcPr>
            <w:tcW w:w="1530" w:type="dxa"/>
          </w:tcPr>
          <w:p w14:paraId="72923782"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 xml:space="preserve">ARM-1.2.5 Guidance on simple IoT sensors task  </w:t>
            </w:r>
          </w:p>
          <w:p w14:paraId="6E68772D"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VTS-2.8.6 drones guideline</w:t>
            </w:r>
          </w:p>
          <w:p w14:paraId="38B0EA6A" w14:textId="77777777" w:rsidR="0093374D" w:rsidRPr="00F24E96" w:rsidRDefault="0093374D" w:rsidP="001727B0">
            <w:pPr>
              <w:rPr>
                <w:rFonts w:ascii="Calibri" w:hAnsi="Calibri"/>
                <w:sz w:val="18"/>
                <w:szCs w:val="18"/>
              </w:rPr>
            </w:pPr>
            <w:r w:rsidRPr="00F24E96">
              <w:rPr>
                <w:rFonts w:ascii="Calibri" w:hAnsi="Calibri"/>
                <w:sz w:val="18"/>
                <w:szCs w:val="18"/>
              </w:rPr>
              <w:t>DTEC tasks on digital communications</w:t>
            </w:r>
          </w:p>
        </w:tc>
        <w:tc>
          <w:tcPr>
            <w:tcW w:w="1440" w:type="dxa"/>
          </w:tcPr>
          <w:p w14:paraId="761DC217" w14:textId="77777777" w:rsidR="0093374D" w:rsidRPr="00F24E96" w:rsidRDefault="0093374D" w:rsidP="001727B0">
            <w:pPr>
              <w:rPr>
                <w:rFonts w:ascii="Calibri" w:hAnsi="Calibri"/>
                <w:sz w:val="18"/>
                <w:szCs w:val="18"/>
              </w:rPr>
            </w:pPr>
            <w:r w:rsidRPr="00F24E96">
              <w:rPr>
                <w:rFonts w:ascii="Calibri" w:hAnsi="Calibri"/>
                <w:sz w:val="18"/>
                <w:szCs w:val="18"/>
              </w:rPr>
              <w:lastRenderedPageBreak/>
              <w:t>SDG9; SDG7; SDG11</w:t>
            </w:r>
          </w:p>
        </w:tc>
        <w:tc>
          <w:tcPr>
            <w:tcW w:w="2160" w:type="dxa"/>
          </w:tcPr>
          <w:p w14:paraId="6EABE789" w14:textId="77777777" w:rsidR="0093374D" w:rsidRPr="00F24E96" w:rsidRDefault="0093374D" w:rsidP="001727B0">
            <w:pPr>
              <w:rPr>
                <w:rFonts w:ascii="Calibri" w:hAnsi="Calibri"/>
                <w:sz w:val="18"/>
                <w:szCs w:val="18"/>
              </w:rPr>
            </w:pPr>
            <w:r w:rsidRPr="00F24E96">
              <w:rPr>
                <w:rFonts w:ascii="Calibri" w:hAnsi="Calibri"/>
                <w:sz w:val="18"/>
                <w:szCs w:val="18"/>
              </w:rPr>
              <w:t xml:space="preserve">Expand ARM-1.2.5 to include low-power messaging examples and accelerate VTS-2.8.6 </w:t>
            </w:r>
            <w:r w:rsidRPr="00F24E96">
              <w:rPr>
                <w:rFonts w:ascii="Calibri" w:hAnsi="Calibri"/>
                <w:sz w:val="18"/>
                <w:szCs w:val="18"/>
              </w:rPr>
              <w:lastRenderedPageBreak/>
              <w:t>drone guideline adoption for buoy pre-checks</w:t>
            </w:r>
          </w:p>
        </w:tc>
      </w:tr>
      <w:tr w:rsidR="0093374D" w:rsidRPr="00F24E96" w14:paraId="1B8FEEE1" w14:textId="77777777" w:rsidTr="001727B0">
        <w:tc>
          <w:tcPr>
            <w:tcW w:w="1530" w:type="dxa"/>
          </w:tcPr>
          <w:p w14:paraId="15BA258E"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WG2</w:t>
            </w:r>
            <w:r>
              <w:rPr>
                <w:rFonts w:ascii="Calibri" w:hAnsi="Calibri"/>
                <w:sz w:val="18"/>
                <w:szCs w:val="18"/>
              </w:rPr>
              <w:t>)</w:t>
            </w:r>
          </w:p>
          <w:p w14:paraId="213F74AE"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of digitalization, AI, and MASS impacts to increase monitoring of AtoN </w:t>
            </w:r>
          </w:p>
        </w:tc>
        <w:tc>
          <w:tcPr>
            <w:tcW w:w="1440" w:type="dxa"/>
          </w:tcPr>
          <w:p w14:paraId="1A6C049D" w14:textId="77777777" w:rsidR="0093374D" w:rsidRPr="00F24E96" w:rsidRDefault="0093374D" w:rsidP="001727B0">
            <w:pPr>
              <w:rPr>
                <w:rFonts w:ascii="Calibri" w:hAnsi="Calibri"/>
                <w:sz w:val="18"/>
                <w:szCs w:val="18"/>
              </w:rPr>
            </w:pPr>
            <w:r w:rsidRPr="00F24E96">
              <w:rPr>
                <w:rFonts w:ascii="Calibri" w:hAnsi="Calibri"/>
                <w:sz w:val="18"/>
                <w:szCs w:val="18"/>
              </w:rPr>
              <w:t>Standardize data models, S-100 alignment, and determine AtoN requirements for MASS/AI; create guidance on AI use (e.g., digital twin for storm prediction)</w:t>
            </w:r>
          </w:p>
        </w:tc>
        <w:tc>
          <w:tcPr>
            <w:tcW w:w="1440" w:type="dxa"/>
          </w:tcPr>
          <w:p w14:paraId="3CF9C6DD" w14:textId="77777777" w:rsidR="0093374D" w:rsidRPr="00F24E96" w:rsidRDefault="0093374D" w:rsidP="001727B0">
            <w:pPr>
              <w:rPr>
                <w:rFonts w:ascii="Calibri" w:hAnsi="Calibri"/>
                <w:sz w:val="18"/>
                <w:szCs w:val="18"/>
              </w:rPr>
            </w:pPr>
            <w:r w:rsidRPr="00F24E96">
              <w:rPr>
                <w:rFonts w:ascii="Calibri" w:hAnsi="Calibri"/>
                <w:sz w:val="18"/>
                <w:szCs w:val="18"/>
              </w:rPr>
              <w:t>S1060 (Digital Communication)</w:t>
            </w:r>
          </w:p>
          <w:p w14:paraId="554EDF3B" w14:textId="77777777" w:rsidR="0093374D" w:rsidRPr="00F24E96" w:rsidRDefault="0093374D" w:rsidP="001727B0">
            <w:pPr>
              <w:rPr>
                <w:rFonts w:ascii="Calibri" w:hAnsi="Calibri"/>
                <w:sz w:val="18"/>
                <w:szCs w:val="18"/>
              </w:rPr>
            </w:pPr>
          </w:p>
          <w:p w14:paraId="4DD6B732" w14:textId="77777777" w:rsidR="0093374D" w:rsidRPr="00F24E96" w:rsidRDefault="0093374D" w:rsidP="001727B0">
            <w:pPr>
              <w:rPr>
                <w:rFonts w:ascii="Calibri" w:hAnsi="Calibri"/>
                <w:sz w:val="18"/>
                <w:szCs w:val="18"/>
              </w:rPr>
            </w:pPr>
            <w:r w:rsidRPr="00F24E96">
              <w:rPr>
                <w:rFonts w:ascii="Calibri" w:hAnsi="Calibri"/>
                <w:sz w:val="18"/>
                <w:szCs w:val="18"/>
              </w:rPr>
              <w:t>S1070 (Informational Services)</w:t>
            </w:r>
          </w:p>
          <w:p w14:paraId="413ECE0F" w14:textId="77777777" w:rsidR="0093374D" w:rsidRPr="00F24E96" w:rsidRDefault="0093374D" w:rsidP="001727B0">
            <w:pPr>
              <w:rPr>
                <w:rFonts w:ascii="Calibri" w:hAnsi="Calibri"/>
                <w:sz w:val="18"/>
                <w:szCs w:val="18"/>
              </w:rPr>
            </w:pPr>
          </w:p>
          <w:p w14:paraId="2173E793" w14:textId="77777777" w:rsidR="0093374D" w:rsidRPr="00F24E96" w:rsidRDefault="0093374D" w:rsidP="001727B0">
            <w:pPr>
              <w:rPr>
                <w:rFonts w:ascii="Calibri" w:hAnsi="Calibri"/>
                <w:sz w:val="18"/>
                <w:szCs w:val="18"/>
              </w:rPr>
            </w:pPr>
            <w:r w:rsidRPr="00F24E96">
              <w:rPr>
                <w:rFonts w:ascii="Calibri" w:hAnsi="Calibri"/>
                <w:sz w:val="18"/>
                <w:szCs w:val="18"/>
              </w:rPr>
              <w:t>S1030 (Radionavigation for R-Mode)</w:t>
            </w:r>
          </w:p>
        </w:tc>
        <w:tc>
          <w:tcPr>
            <w:tcW w:w="1350" w:type="dxa"/>
          </w:tcPr>
          <w:p w14:paraId="7687A8DF" w14:textId="77777777" w:rsidR="0093374D" w:rsidRPr="00F24E96" w:rsidRDefault="0093374D" w:rsidP="001727B0">
            <w:pPr>
              <w:rPr>
                <w:rFonts w:ascii="Calibri" w:hAnsi="Calibri"/>
                <w:sz w:val="18"/>
                <w:szCs w:val="18"/>
              </w:rPr>
            </w:pPr>
            <w:r w:rsidRPr="00F24E96">
              <w:rPr>
                <w:rFonts w:ascii="Calibri" w:hAnsi="Calibri"/>
                <w:sz w:val="18"/>
                <w:szCs w:val="18"/>
              </w:rPr>
              <w:t>DTEC lead on AI and MCP</w:t>
            </w:r>
          </w:p>
          <w:p w14:paraId="4D66753D"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to address technical AtoN service needs </w:t>
            </w:r>
          </w:p>
          <w:p w14:paraId="6EAC734F" w14:textId="77777777" w:rsidR="0093374D" w:rsidRPr="00F24E96" w:rsidRDefault="0093374D" w:rsidP="001727B0">
            <w:pPr>
              <w:rPr>
                <w:rFonts w:ascii="Calibri" w:hAnsi="Calibri"/>
                <w:sz w:val="18"/>
                <w:szCs w:val="18"/>
              </w:rPr>
            </w:pPr>
            <w:r w:rsidRPr="00F24E96">
              <w:rPr>
                <w:rFonts w:ascii="Calibri" w:hAnsi="Calibri"/>
                <w:sz w:val="18"/>
                <w:szCs w:val="18"/>
              </w:rPr>
              <w:t>ARM to define operational requirements</w:t>
            </w:r>
          </w:p>
        </w:tc>
        <w:tc>
          <w:tcPr>
            <w:tcW w:w="1530" w:type="dxa"/>
          </w:tcPr>
          <w:p w14:paraId="68D088D8" w14:textId="77777777" w:rsidR="0093374D" w:rsidRPr="00F24E96" w:rsidRDefault="0093374D" w:rsidP="001727B0">
            <w:pPr>
              <w:rPr>
                <w:rFonts w:ascii="Calibri" w:hAnsi="Calibri"/>
                <w:sz w:val="18"/>
                <w:szCs w:val="18"/>
              </w:rPr>
            </w:pPr>
            <w:r w:rsidRPr="00F24E96">
              <w:rPr>
                <w:rFonts w:ascii="Calibri" w:hAnsi="Calibri"/>
                <w:sz w:val="18"/>
                <w:szCs w:val="18"/>
              </w:rPr>
              <w:t>DTEC-1.2.5 review/update G1178 (AI guidance)</w:t>
            </w:r>
          </w:p>
          <w:p w14:paraId="231EBD15"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6D4896B5" w14:textId="77777777" w:rsidR="0093374D" w:rsidRPr="00F24E96" w:rsidRDefault="0093374D" w:rsidP="001727B0">
            <w:pPr>
              <w:rPr>
                <w:rFonts w:ascii="Calibri" w:hAnsi="Calibri"/>
                <w:sz w:val="18"/>
                <w:szCs w:val="18"/>
              </w:rPr>
            </w:pPr>
            <w:r w:rsidRPr="00F24E96">
              <w:rPr>
                <w:rFonts w:ascii="Calibri" w:hAnsi="Calibri"/>
                <w:sz w:val="18"/>
                <w:szCs w:val="18"/>
              </w:rPr>
              <w:t>DTEC and ARM S-100/MCP tasks (DTEC-7.1.6 / ARM-7.1.14)</w:t>
            </w:r>
          </w:p>
        </w:tc>
        <w:tc>
          <w:tcPr>
            <w:tcW w:w="1440" w:type="dxa"/>
          </w:tcPr>
          <w:p w14:paraId="14CA93EB" w14:textId="77777777" w:rsidR="0093374D" w:rsidRPr="00F24E96" w:rsidRDefault="0093374D" w:rsidP="001727B0">
            <w:pPr>
              <w:rPr>
                <w:rFonts w:ascii="Calibri" w:hAnsi="Calibri"/>
                <w:sz w:val="18"/>
                <w:szCs w:val="18"/>
              </w:rPr>
            </w:pPr>
            <w:r w:rsidRPr="00F24E96">
              <w:rPr>
                <w:rFonts w:ascii="Calibri" w:hAnsi="Calibri"/>
                <w:sz w:val="18"/>
                <w:szCs w:val="18"/>
              </w:rPr>
              <w:t>SDG9; SDG13; SDG17</w:t>
            </w:r>
          </w:p>
        </w:tc>
        <w:tc>
          <w:tcPr>
            <w:tcW w:w="2160" w:type="dxa"/>
          </w:tcPr>
          <w:p w14:paraId="3A996315"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 to update G1178 and produce AtoN-specific AI use-cases; </w:t>
            </w:r>
          </w:p>
          <w:p w14:paraId="297AE5C3" w14:textId="77777777" w:rsidR="0093374D" w:rsidRPr="00F24E96" w:rsidRDefault="0093374D" w:rsidP="001727B0">
            <w:pPr>
              <w:rPr>
                <w:rFonts w:ascii="Calibri" w:hAnsi="Calibri"/>
                <w:sz w:val="18"/>
                <w:szCs w:val="18"/>
              </w:rPr>
            </w:pPr>
          </w:p>
          <w:p w14:paraId="6ACD281A"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to publish MASS AtoN requirements scoping (ARM-1.2.4 </w:t>
            </w:r>
          </w:p>
          <w:p w14:paraId="5B886B79" w14:textId="77777777" w:rsidR="0093374D" w:rsidRPr="00F24E96" w:rsidRDefault="0093374D" w:rsidP="001727B0">
            <w:pPr>
              <w:rPr>
                <w:rFonts w:ascii="Calibri" w:hAnsi="Calibri"/>
                <w:sz w:val="18"/>
                <w:szCs w:val="18"/>
              </w:rPr>
            </w:pPr>
            <w:r w:rsidRPr="00F24E96">
              <w:rPr>
                <w:rFonts w:ascii="Calibri" w:hAnsi="Calibri"/>
                <w:sz w:val="18"/>
                <w:szCs w:val="18"/>
              </w:rPr>
              <w:t>ENG-1.2.3 coordination</w:t>
            </w:r>
          </w:p>
        </w:tc>
      </w:tr>
      <w:tr w:rsidR="0093374D" w:rsidRPr="00F24E96" w14:paraId="30A501DC" w14:textId="77777777" w:rsidTr="001727B0">
        <w:tc>
          <w:tcPr>
            <w:tcW w:w="1530" w:type="dxa"/>
          </w:tcPr>
          <w:p w14:paraId="7BCBF31E"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A3ACDBE" w14:textId="77777777" w:rsidR="0093374D" w:rsidRPr="00F24E96" w:rsidRDefault="0093374D" w:rsidP="001727B0">
            <w:pPr>
              <w:rPr>
                <w:rFonts w:ascii="Calibri" w:hAnsi="Calibri"/>
                <w:sz w:val="18"/>
                <w:szCs w:val="18"/>
              </w:rPr>
            </w:pPr>
            <w:r w:rsidRPr="00F24E96">
              <w:rPr>
                <w:rFonts w:ascii="Calibri" w:hAnsi="Calibri"/>
                <w:sz w:val="18"/>
                <w:szCs w:val="18"/>
              </w:rPr>
              <w:t>Sustainable procurement and supply chain (including SIDS / LDC support and surplus equipment transfer)</w:t>
            </w:r>
          </w:p>
        </w:tc>
        <w:tc>
          <w:tcPr>
            <w:tcW w:w="1440" w:type="dxa"/>
          </w:tcPr>
          <w:p w14:paraId="1CF3D801" w14:textId="77777777" w:rsidR="0093374D" w:rsidRPr="00F24E96" w:rsidRDefault="0093374D" w:rsidP="001727B0">
            <w:pPr>
              <w:rPr>
                <w:rFonts w:ascii="Calibri" w:hAnsi="Calibri"/>
                <w:sz w:val="18"/>
                <w:szCs w:val="18"/>
              </w:rPr>
            </w:pPr>
            <w:r w:rsidRPr="00F24E96">
              <w:rPr>
                <w:rFonts w:ascii="Calibri" w:hAnsi="Calibri"/>
                <w:sz w:val="18"/>
                <w:szCs w:val="18"/>
              </w:rPr>
              <w:t>Add procurement guidance, sustainable tender criteria, and guidance for donating/transferring surplus equipment to less mature economies</w:t>
            </w:r>
          </w:p>
        </w:tc>
        <w:tc>
          <w:tcPr>
            <w:tcW w:w="1440" w:type="dxa"/>
          </w:tcPr>
          <w:p w14:paraId="51B25A01" w14:textId="77777777" w:rsidR="0093374D" w:rsidRPr="00F24E96" w:rsidRDefault="0093374D" w:rsidP="001727B0">
            <w:pPr>
              <w:rPr>
                <w:rFonts w:ascii="Calibri" w:hAnsi="Calibri"/>
                <w:sz w:val="18"/>
                <w:szCs w:val="18"/>
              </w:rPr>
            </w:pPr>
            <w:r w:rsidRPr="00F24E96">
              <w:rPr>
                <w:rFonts w:ascii="Calibri" w:hAnsi="Calibri"/>
                <w:sz w:val="18"/>
                <w:szCs w:val="18"/>
              </w:rPr>
              <w:t>S1010.1 Obligations and planning</w:t>
            </w:r>
          </w:p>
          <w:p w14:paraId="4233C8AE" w14:textId="77777777" w:rsidR="0093374D" w:rsidRPr="00F24E96" w:rsidRDefault="0093374D" w:rsidP="001727B0">
            <w:pPr>
              <w:rPr>
                <w:rFonts w:ascii="Calibri" w:hAnsi="Calibri"/>
                <w:sz w:val="18"/>
                <w:szCs w:val="18"/>
              </w:rPr>
            </w:pPr>
          </w:p>
          <w:p w14:paraId="57A69FC3"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 (surplus lighthouse property)</w:t>
            </w:r>
          </w:p>
        </w:tc>
        <w:tc>
          <w:tcPr>
            <w:tcW w:w="1350" w:type="dxa"/>
          </w:tcPr>
          <w:p w14:paraId="2E4BF2E7"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(procurement and planning) </w:t>
            </w:r>
          </w:p>
          <w:p w14:paraId="32B25372" w14:textId="77777777" w:rsidR="0093374D" w:rsidRPr="00F24E96" w:rsidRDefault="0093374D" w:rsidP="001727B0">
            <w:pPr>
              <w:rPr>
                <w:rFonts w:ascii="Calibri" w:hAnsi="Calibri"/>
                <w:sz w:val="18"/>
                <w:szCs w:val="18"/>
              </w:rPr>
            </w:pPr>
            <w:r w:rsidRPr="00F24E96">
              <w:rPr>
                <w:rFonts w:ascii="Calibri" w:hAnsi="Calibri"/>
                <w:sz w:val="18"/>
                <w:szCs w:val="18"/>
              </w:rPr>
              <w:t>ENG (heritage disposal guidance)</w:t>
            </w:r>
          </w:p>
          <w:p w14:paraId="7E3819D9" w14:textId="77777777" w:rsidR="0093374D" w:rsidRPr="00F24E96" w:rsidRDefault="0093374D" w:rsidP="001727B0">
            <w:pPr>
              <w:rPr>
                <w:rFonts w:ascii="Calibri" w:hAnsi="Calibri"/>
                <w:sz w:val="18"/>
                <w:szCs w:val="18"/>
              </w:rPr>
            </w:pPr>
            <w:r w:rsidRPr="00F24E96">
              <w:rPr>
                <w:rFonts w:ascii="Calibri" w:hAnsi="Calibri"/>
                <w:sz w:val="18"/>
                <w:szCs w:val="18"/>
              </w:rPr>
              <w:t>WWA training for SIDS programs</w:t>
            </w:r>
          </w:p>
        </w:tc>
        <w:tc>
          <w:tcPr>
            <w:tcW w:w="1530" w:type="dxa"/>
          </w:tcPr>
          <w:p w14:paraId="49448714"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ARM-2.2.5 AtoN for SIDS (support project)  </w:t>
            </w:r>
          </w:p>
          <w:p w14:paraId="64FEDDCF"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ENG-2.6.5.b (G1093 review)  </w:t>
            </w:r>
          </w:p>
          <w:p w14:paraId="20903C59" w14:textId="77777777" w:rsidR="0093374D" w:rsidRPr="00F24E96" w:rsidRDefault="0093374D" w:rsidP="001727B0">
            <w:pPr>
              <w:rPr>
                <w:rFonts w:ascii="Calibri" w:hAnsi="Calibri"/>
                <w:sz w:val="18"/>
                <w:szCs w:val="18"/>
              </w:rPr>
            </w:pPr>
            <w:r w:rsidRPr="00F24E96">
              <w:rPr>
                <w:rFonts w:ascii="Calibri" w:hAnsi="Calibri"/>
                <w:sz w:val="18"/>
                <w:szCs w:val="18"/>
              </w:rPr>
              <w:t>ENG-2.6.6 (G1063 complementary use)</w:t>
            </w:r>
          </w:p>
        </w:tc>
        <w:tc>
          <w:tcPr>
            <w:tcW w:w="1440" w:type="dxa"/>
          </w:tcPr>
          <w:p w14:paraId="5867D642" w14:textId="77777777" w:rsidR="0093374D" w:rsidRPr="00F24E96" w:rsidRDefault="0093374D" w:rsidP="001727B0">
            <w:pPr>
              <w:rPr>
                <w:rFonts w:ascii="Calibri" w:hAnsi="Calibri"/>
                <w:sz w:val="18"/>
                <w:szCs w:val="18"/>
              </w:rPr>
            </w:pPr>
            <w:r w:rsidRPr="00F24E96">
              <w:rPr>
                <w:rFonts w:ascii="Calibri" w:hAnsi="Calibri"/>
                <w:sz w:val="18"/>
                <w:szCs w:val="18"/>
              </w:rPr>
              <w:t>SDG10 (Reduced Inequalities); SDG12; SDG17</w:t>
            </w:r>
          </w:p>
        </w:tc>
        <w:tc>
          <w:tcPr>
            <w:tcW w:w="2160" w:type="dxa"/>
          </w:tcPr>
          <w:p w14:paraId="22937719" w14:textId="77777777" w:rsidR="0093374D" w:rsidRPr="00F24E96" w:rsidRDefault="0093374D" w:rsidP="001727B0">
            <w:pPr>
              <w:rPr>
                <w:rFonts w:ascii="Calibri" w:hAnsi="Calibri"/>
                <w:sz w:val="18"/>
                <w:szCs w:val="18"/>
              </w:rPr>
            </w:pPr>
            <w:r w:rsidRPr="00F24E96">
              <w:rPr>
                <w:rFonts w:ascii="Calibri" w:hAnsi="Calibri"/>
                <w:sz w:val="18"/>
                <w:szCs w:val="18"/>
              </w:rPr>
              <w:t xml:space="preserve">Recommend a procurement template and an “equipment gifting and transfer” protocol (health/transport/compatibility checklist) to be annexed to G1093/G1063. </w:t>
            </w:r>
          </w:p>
          <w:p w14:paraId="0E4CBAC0" w14:textId="77777777" w:rsidR="0093374D" w:rsidRPr="00F24E96" w:rsidRDefault="0093374D" w:rsidP="001727B0">
            <w:pPr>
              <w:rPr>
                <w:rFonts w:ascii="Calibri" w:hAnsi="Calibri"/>
                <w:sz w:val="18"/>
                <w:szCs w:val="18"/>
              </w:rPr>
            </w:pPr>
            <w:r w:rsidRPr="00F24E96">
              <w:rPr>
                <w:rFonts w:ascii="Calibri" w:hAnsi="Calibri"/>
                <w:sz w:val="18"/>
                <w:szCs w:val="18"/>
              </w:rPr>
              <w:t>Link with ARM-2.2.5 SIDS project</w:t>
            </w:r>
          </w:p>
        </w:tc>
      </w:tr>
      <w:tr w:rsidR="0093374D" w:rsidRPr="00F24E96" w14:paraId="51016EFB" w14:textId="77777777" w:rsidTr="001727B0">
        <w:tc>
          <w:tcPr>
            <w:tcW w:w="1530" w:type="dxa"/>
          </w:tcPr>
          <w:p w14:paraId="454531E8"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0A987B15" w14:textId="77777777" w:rsidR="0093374D" w:rsidRPr="00F24E96" w:rsidRDefault="0093374D" w:rsidP="001727B0">
            <w:pPr>
              <w:rPr>
                <w:rFonts w:ascii="Calibri" w:hAnsi="Calibri"/>
                <w:sz w:val="18"/>
                <w:szCs w:val="18"/>
              </w:rPr>
            </w:pPr>
            <w:r w:rsidRPr="00F24E96">
              <w:rPr>
                <w:rFonts w:ascii="Calibri" w:hAnsi="Calibri"/>
                <w:sz w:val="18"/>
                <w:szCs w:val="18"/>
              </w:rPr>
              <w:t>Heritage and modernization balance (reuse of lenses, modularity, community hubs)</w:t>
            </w:r>
          </w:p>
        </w:tc>
        <w:tc>
          <w:tcPr>
            <w:tcW w:w="1440" w:type="dxa"/>
          </w:tcPr>
          <w:p w14:paraId="16B69A64" w14:textId="77777777" w:rsidR="0093374D" w:rsidRPr="00F24E96" w:rsidRDefault="0093374D" w:rsidP="001727B0">
            <w:pPr>
              <w:rPr>
                <w:rFonts w:ascii="Calibri" w:hAnsi="Calibri"/>
                <w:sz w:val="18"/>
                <w:szCs w:val="18"/>
              </w:rPr>
            </w:pPr>
            <w:r w:rsidRPr="00F24E96">
              <w:rPr>
                <w:rFonts w:ascii="Calibri" w:hAnsi="Calibri"/>
                <w:sz w:val="18"/>
                <w:szCs w:val="18"/>
              </w:rPr>
              <w:t>Produce guidance on integrating modern equipment into heritage assets; guidance on modular retrofits and community engagement</w:t>
            </w:r>
          </w:p>
        </w:tc>
        <w:tc>
          <w:tcPr>
            <w:tcW w:w="1440" w:type="dxa"/>
          </w:tcPr>
          <w:p w14:paraId="764DA5EC" w14:textId="77777777" w:rsidR="0093374D" w:rsidRPr="00F24E96" w:rsidRDefault="0093374D" w:rsidP="001727B0">
            <w:pPr>
              <w:rPr>
                <w:rFonts w:ascii="Calibri" w:hAnsi="Calibri"/>
                <w:sz w:val="18"/>
                <w:szCs w:val="18"/>
              </w:rPr>
            </w:pPr>
            <w:r w:rsidRPr="00F24E96">
              <w:rPr>
                <w:rFonts w:ascii="Calibri" w:hAnsi="Calibri"/>
                <w:sz w:val="18"/>
                <w:szCs w:val="18"/>
              </w:rPr>
              <w:t>S1020.6 Heritage and Culture</w:t>
            </w:r>
          </w:p>
        </w:tc>
        <w:tc>
          <w:tcPr>
            <w:tcW w:w="1350" w:type="dxa"/>
          </w:tcPr>
          <w:p w14:paraId="1BE34666" w14:textId="77777777" w:rsidR="0093374D" w:rsidRPr="00F24E96" w:rsidRDefault="0093374D" w:rsidP="001727B0">
            <w:pPr>
              <w:rPr>
                <w:rFonts w:ascii="Calibri" w:hAnsi="Calibri"/>
                <w:sz w:val="18"/>
                <w:szCs w:val="18"/>
              </w:rPr>
            </w:pPr>
            <w:r w:rsidRPr="00F24E96">
              <w:rPr>
                <w:rFonts w:ascii="Calibri" w:hAnsi="Calibri"/>
                <w:sz w:val="18"/>
                <w:szCs w:val="18"/>
              </w:rPr>
              <w:t>ENG lead (heritage guidelines and G1063/G1093 updates)</w:t>
            </w:r>
          </w:p>
        </w:tc>
        <w:tc>
          <w:tcPr>
            <w:tcW w:w="1530" w:type="dxa"/>
          </w:tcPr>
          <w:p w14:paraId="79106DAD" w14:textId="77777777" w:rsidR="0093374D" w:rsidRPr="00F24E96" w:rsidRDefault="0093374D" w:rsidP="001727B0">
            <w:pPr>
              <w:rPr>
                <w:rFonts w:ascii="Calibri" w:hAnsi="Calibri"/>
                <w:sz w:val="18"/>
                <w:szCs w:val="18"/>
              </w:rPr>
            </w:pPr>
            <w:r w:rsidRPr="00F24E96">
              <w:rPr>
                <w:rFonts w:ascii="Calibri" w:hAnsi="Calibri"/>
                <w:sz w:val="18"/>
                <w:szCs w:val="18"/>
              </w:rPr>
              <w:t>ENG-2.6.2 Guidance on modern equipment in traditional lighthouses</w:t>
            </w:r>
          </w:p>
          <w:p w14:paraId="064C6FA6" w14:textId="77777777" w:rsidR="0093374D" w:rsidRPr="00F24E96" w:rsidRDefault="0093374D" w:rsidP="001727B0">
            <w:pPr>
              <w:rPr>
                <w:rFonts w:ascii="Calibri" w:hAnsi="Calibri"/>
                <w:sz w:val="18"/>
                <w:szCs w:val="18"/>
              </w:rPr>
            </w:pPr>
            <w:r w:rsidRPr="00F24E96">
              <w:rPr>
                <w:rFonts w:ascii="Calibri" w:hAnsi="Calibri"/>
                <w:sz w:val="18"/>
                <w:szCs w:val="18"/>
              </w:rPr>
              <w:t>ENG-2.6.6 G1063 update</w:t>
            </w:r>
          </w:p>
          <w:p w14:paraId="3D63F910" w14:textId="77777777" w:rsidR="0093374D" w:rsidRPr="00F24E96" w:rsidRDefault="0093374D" w:rsidP="001727B0">
            <w:pPr>
              <w:rPr>
                <w:rFonts w:ascii="Calibri" w:hAnsi="Calibri"/>
                <w:sz w:val="18"/>
                <w:szCs w:val="18"/>
              </w:rPr>
            </w:pPr>
            <w:r w:rsidRPr="00F24E96">
              <w:rPr>
                <w:rFonts w:ascii="Calibri" w:hAnsi="Calibri"/>
                <w:sz w:val="18"/>
                <w:szCs w:val="18"/>
              </w:rPr>
              <w:t>ENG-2.6.5.b review G1093</w:t>
            </w:r>
          </w:p>
        </w:tc>
        <w:tc>
          <w:tcPr>
            <w:tcW w:w="1440" w:type="dxa"/>
          </w:tcPr>
          <w:p w14:paraId="3F56B8C6" w14:textId="77777777" w:rsidR="0093374D" w:rsidRPr="00F24E96" w:rsidRDefault="0093374D" w:rsidP="001727B0">
            <w:pPr>
              <w:rPr>
                <w:rFonts w:ascii="Calibri" w:hAnsi="Calibri"/>
                <w:sz w:val="18"/>
                <w:szCs w:val="18"/>
              </w:rPr>
            </w:pPr>
            <w:r w:rsidRPr="00F24E96">
              <w:rPr>
                <w:rFonts w:ascii="Calibri" w:hAnsi="Calibri"/>
                <w:sz w:val="18"/>
                <w:szCs w:val="18"/>
              </w:rPr>
              <w:t>SDG11; SDG12</w:t>
            </w:r>
          </w:p>
        </w:tc>
        <w:tc>
          <w:tcPr>
            <w:tcW w:w="2160" w:type="dxa"/>
          </w:tcPr>
          <w:p w14:paraId="7CFB5539" w14:textId="77777777" w:rsidR="0093374D" w:rsidRPr="00F24E96" w:rsidRDefault="0093374D" w:rsidP="001727B0">
            <w:pPr>
              <w:rPr>
                <w:rFonts w:ascii="Calibri" w:hAnsi="Calibri"/>
                <w:sz w:val="18"/>
                <w:szCs w:val="18"/>
              </w:rPr>
            </w:pPr>
            <w:r w:rsidRPr="00F24E96">
              <w:rPr>
                <w:rFonts w:ascii="Calibri" w:hAnsi="Calibri"/>
                <w:sz w:val="18"/>
                <w:szCs w:val="18"/>
              </w:rPr>
              <w:t>Develop a modular retrofit catalogue with case studies (include lens reuse examples) as part of ENG-2.6.2 and update G1063 with examples of community hub models.</w:t>
            </w:r>
          </w:p>
        </w:tc>
      </w:tr>
      <w:tr w:rsidR="0093374D" w:rsidRPr="00F24E96" w14:paraId="0CFBE3AD" w14:textId="77777777" w:rsidTr="001727B0">
        <w:tc>
          <w:tcPr>
            <w:tcW w:w="1530" w:type="dxa"/>
          </w:tcPr>
          <w:p w14:paraId="3F0B760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5BB4155" w14:textId="77777777" w:rsidR="0093374D" w:rsidRPr="00F24E96" w:rsidRDefault="0093374D" w:rsidP="001727B0">
            <w:pPr>
              <w:rPr>
                <w:rFonts w:ascii="Calibri" w:hAnsi="Calibri"/>
                <w:sz w:val="18"/>
                <w:szCs w:val="18"/>
              </w:rPr>
            </w:pPr>
            <w:r w:rsidRPr="00F24E96">
              <w:rPr>
                <w:rFonts w:ascii="Calibri" w:hAnsi="Calibri"/>
                <w:sz w:val="18"/>
                <w:szCs w:val="18"/>
              </w:rPr>
              <w:t>Implementing UN SDGs in AtoN operations (reduce/reuse/recycle; plastics; procurement)</w:t>
            </w:r>
          </w:p>
        </w:tc>
        <w:tc>
          <w:tcPr>
            <w:tcW w:w="1440" w:type="dxa"/>
          </w:tcPr>
          <w:p w14:paraId="6BC63776" w14:textId="77777777" w:rsidR="0093374D" w:rsidRPr="00F24E96" w:rsidRDefault="0093374D" w:rsidP="001727B0">
            <w:pPr>
              <w:rPr>
                <w:rFonts w:ascii="Calibri" w:hAnsi="Calibri"/>
                <w:sz w:val="18"/>
                <w:szCs w:val="18"/>
              </w:rPr>
            </w:pPr>
            <w:r w:rsidRPr="00F24E96">
              <w:rPr>
                <w:rFonts w:ascii="Calibri" w:hAnsi="Calibri"/>
                <w:sz w:val="18"/>
                <w:szCs w:val="18"/>
              </w:rPr>
              <w:t>Add SDG mapping to guidelines; include procurement and circularity clauses and examples/case studies</w:t>
            </w:r>
          </w:p>
        </w:tc>
        <w:tc>
          <w:tcPr>
            <w:tcW w:w="1440" w:type="dxa"/>
          </w:tcPr>
          <w:p w14:paraId="2E4AA50D" w14:textId="77777777" w:rsidR="0093374D" w:rsidRPr="00F24E96" w:rsidRDefault="0093374D" w:rsidP="001727B0">
            <w:pPr>
              <w:rPr>
                <w:rFonts w:ascii="Calibri" w:hAnsi="Calibri"/>
                <w:sz w:val="18"/>
                <w:szCs w:val="18"/>
              </w:rPr>
            </w:pPr>
            <w:r w:rsidRPr="00F24E96">
              <w:rPr>
                <w:rFonts w:ascii="Calibri" w:hAnsi="Calibri"/>
                <w:sz w:val="18"/>
                <w:szCs w:val="18"/>
              </w:rPr>
              <w:t>S1020 — 2.4 Environment and sustainability</w:t>
            </w:r>
          </w:p>
          <w:p w14:paraId="00AAAEE1" w14:textId="77777777" w:rsidR="0093374D" w:rsidRPr="00F24E96" w:rsidRDefault="0093374D" w:rsidP="001727B0">
            <w:pPr>
              <w:rPr>
                <w:rFonts w:ascii="Calibri" w:hAnsi="Calibri"/>
                <w:sz w:val="18"/>
                <w:szCs w:val="18"/>
              </w:rPr>
            </w:pPr>
          </w:p>
          <w:p w14:paraId="2F03A855" w14:textId="77777777" w:rsidR="0093374D" w:rsidRPr="00F24E96" w:rsidRDefault="0093374D" w:rsidP="001727B0">
            <w:pPr>
              <w:rPr>
                <w:rFonts w:ascii="Calibri" w:hAnsi="Calibri"/>
                <w:sz w:val="18"/>
                <w:szCs w:val="18"/>
              </w:rPr>
            </w:pPr>
            <w:r w:rsidRPr="00F24E96">
              <w:rPr>
                <w:rFonts w:ascii="Calibri" w:hAnsi="Calibri"/>
                <w:sz w:val="18"/>
                <w:szCs w:val="18"/>
              </w:rPr>
              <w:t>S1020 — 2.6 Heritage and culture (for reuse/heritage)</w:t>
            </w:r>
          </w:p>
        </w:tc>
        <w:tc>
          <w:tcPr>
            <w:tcW w:w="1350" w:type="dxa"/>
          </w:tcPr>
          <w:p w14:paraId="3A5DA05E" w14:textId="77777777" w:rsidR="0093374D" w:rsidRPr="00F24E96" w:rsidRDefault="0093374D" w:rsidP="001727B0">
            <w:pPr>
              <w:rPr>
                <w:rFonts w:ascii="Calibri" w:hAnsi="Calibri"/>
                <w:sz w:val="18"/>
                <w:szCs w:val="18"/>
              </w:rPr>
            </w:pPr>
            <w:r w:rsidRPr="00F24E96">
              <w:rPr>
                <w:rFonts w:ascii="Calibri" w:hAnsi="Calibri"/>
                <w:sz w:val="18"/>
                <w:szCs w:val="18"/>
              </w:rPr>
              <w:t>ENG lead (guidance on through-life impacts and heritage)</w:t>
            </w:r>
          </w:p>
          <w:p w14:paraId="34DE132C" w14:textId="77777777" w:rsidR="0093374D" w:rsidRPr="00F24E96" w:rsidRDefault="0093374D" w:rsidP="001727B0">
            <w:pPr>
              <w:rPr>
                <w:rFonts w:ascii="Calibri" w:hAnsi="Calibri"/>
                <w:sz w:val="18"/>
                <w:szCs w:val="18"/>
              </w:rPr>
            </w:pPr>
            <w:r w:rsidRPr="00F24E96">
              <w:rPr>
                <w:rFonts w:ascii="Calibri" w:hAnsi="Calibri"/>
                <w:sz w:val="18"/>
                <w:szCs w:val="18"/>
              </w:rPr>
              <w:t>ARM to include procurement in planning; WWA/Training for awareness.</w:t>
            </w:r>
          </w:p>
        </w:tc>
        <w:tc>
          <w:tcPr>
            <w:tcW w:w="1530" w:type="dxa"/>
          </w:tcPr>
          <w:p w14:paraId="4692590C" w14:textId="77777777" w:rsidR="0093374D" w:rsidRPr="00F24E96" w:rsidRDefault="0093374D" w:rsidP="001727B0">
            <w:pPr>
              <w:rPr>
                <w:rFonts w:ascii="Calibri" w:hAnsi="Calibri"/>
                <w:sz w:val="18"/>
                <w:szCs w:val="18"/>
              </w:rPr>
            </w:pPr>
            <w:r w:rsidRPr="00F24E96">
              <w:rPr>
                <w:rFonts w:ascii="Calibri" w:hAnsi="Calibri"/>
                <w:sz w:val="18"/>
                <w:szCs w:val="18"/>
              </w:rPr>
              <w:t>ENG-2.4.2 (through-life impact)</w:t>
            </w:r>
          </w:p>
          <w:p w14:paraId="776F07EF" w14:textId="77777777" w:rsidR="0093374D" w:rsidRPr="00F24E96" w:rsidRDefault="0093374D" w:rsidP="001727B0">
            <w:pPr>
              <w:rPr>
                <w:rFonts w:ascii="Calibri" w:hAnsi="Calibri"/>
                <w:sz w:val="18"/>
                <w:szCs w:val="18"/>
              </w:rPr>
            </w:pPr>
            <w:r w:rsidRPr="00F24E96">
              <w:rPr>
                <w:rFonts w:ascii="Calibri" w:hAnsi="Calibri"/>
                <w:sz w:val="18"/>
                <w:szCs w:val="18"/>
              </w:rPr>
              <w:t xml:space="preserve"> </w:t>
            </w:r>
          </w:p>
          <w:p w14:paraId="79904F36" w14:textId="77777777" w:rsidR="0093374D" w:rsidRPr="00F24E96" w:rsidRDefault="0093374D" w:rsidP="001727B0">
            <w:pPr>
              <w:rPr>
                <w:rFonts w:ascii="Calibri" w:hAnsi="Calibri"/>
                <w:sz w:val="18"/>
                <w:szCs w:val="18"/>
              </w:rPr>
            </w:pPr>
            <w:r w:rsidRPr="00F24E96">
              <w:rPr>
                <w:rFonts w:ascii="Calibri" w:hAnsi="Calibri"/>
                <w:sz w:val="18"/>
                <w:szCs w:val="18"/>
              </w:rPr>
              <w:t>ENG-2.6.x heritage tasks (G1063, G1093)</w:t>
            </w:r>
          </w:p>
          <w:p w14:paraId="303BC055" w14:textId="77777777" w:rsidR="0093374D" w:rsidRPr="00F24E96" w:rsidRDefault="0093374D" w:rsidP="001727B0">
            <w:pPr>
              <w:rPr>
                <w:rFonts w:ascii="Calibri" w:hAnsi="Calibri"/>
                <w:sz w:val="18"/>
                <w:szCs w:val="18"/>
              </w:rPr>
            </w:pPr>
          </w:p>
          <w:p w14:paraId="7F4E3E23" w14:textId="77777777" w:rsidR="0093374D" w:rsidRPr="00F24E96" w:rsidRDefault="0093374D" w:rsidP="001727B0">
            <w:pPr>
              <w:rPr>
                <w:rFonts w:ascii="Calibri" w:hAnsi="Calibri"/>
                <w:sz w:val="18"/>
                <w:szCs w:val="18"/>
              </w:rPr>
            </w:pPr>
            <w:r w:rsidRPr="00F24E96">
              <w:rPr>
                <w:rFonts w:ascii="Calibri" w:hAnsi="Calibri"/>
                <w:sz w:val="18"/>
                <w:szCs w:val="18"/>
              </w:rPr>
              <w:t>ARM procurement/level 1 guidance tasks</w:t>
            </w:r>
          </w:p>
        </w:tc>
        <w:tc>
          <w:tcPr>
            <w:tcW w:w="1440" w:type="dxa"/>
          </w:tcPr>
          <w:p w14:paraId="77B2CCEE" w14:textId="77777777" w:rsidR="0093374D" w:rsidRPr="00F24E96" w:rsidRDefault="0093374D" w:rsidP="001727B0">
            <w:pPr>
              <w:rPr>
                <w:rFonts w:ascii="Calibri" w:hAnsi="Calibri"/>
                <w:sz w:val="18"/>
                <w:szCs w:val="18"/>
              </w:rPr>
            </w:pPr>
            <w:r w:rsidRPr="00F24E96">
              <w:rPr>
                <w:rFonts w:ascii="Calibri" w:hAnsi="Calibri"/>
                <w:sz w:val="18"/>
                <w:szCs w:val="18"/>
              </w:rPr>
              <w:t>SDG12 (Responsible Consumption)</w:t>
            </w:r>
          </w:p>
          <w:p w14:paraId="216CCF5B" w14:textId="77777777" w:rsidR="0093374D" w:rsidRPr="00F24E96" w:rsidRDefault="0093374D" w:rsidP="001727B0">
            <w:pPr>
              <w:rPr>
                <w:rFonts w:ascii="Calibri" w:hAnsi="Calibri"/>
                <w:sz w:val="18"/>
                <w:szCs w:val="18"/>
              </w:rPr>
            </w:pPr>
          </w:p>
          <w:p w14:paraId="665BAA80" w14:textId="77777777" w:rsidR="0093374D" w:rsidRPr="00F24E96" w:rsidRDefault="0093374D" w:rsidP="001727B0">
            <w:pPr>
              <w:rPr>
                <w:rFonts w:ascii="Calibri" w:hAnsi="Calibri"/>
                <w:sz w:val="18"/>
                <w:szCs w:val="18"/>
              </w:rPr>
            </w:pPr>
            <w:r w:rsidRPr="00F24E96">
              <w:rPr>
                <w:rFonts w:ascii="Calibri" w:hAnsi="Calibri"/>
                <w:sz w:val="18"/>
                <w:szCs w:val="18"/>
              </w:rPr>
              <w:t>SDG14 (Life Below Water)</w:t>
            </w:r>
          </w:p>
          <w:p w14:paraId="65A8E589" w14:textId="77777777" w:rsidR="0093374D" w:rsidRPr="00F24E96" w:rsidRDefault="0093374D" w:rsidP="001727B0">
            <w:pPr>
              <w:rPr>
                <w:rFonts w:ascii="Calibri" w:hAnsi="Calibri"/>
                <w:sz w:val="18"/>
                <w:szCs w:val="18"/>
              </w:rPr>
            </w:pPr>
          </w:p>
          <w:p w14:paraId="1B7AAE56" w14:textId="77777777" w:rsidR="0093374D" w:rsidRPr="00F24E96" w:rsidRDefault="0093374D" w:rsidP="001727B0">
            <w:pPr>
              <w:rPr>
                <w:rFonts w:ascii="Calibri" w:hAnsi="Calibri"/>
                <w:sz w:val="18"/>
                <w:szCs w:val="18"/>
              </w:rPr>
            </w:pPr>
            <w:r w:rsidRPr="00F24E96">
              <w:rPr>
                <w:rFonts w:ascii="Calibri" w:hAnsi="Calibri"/>
                <w:sz w:val="18"/>
                <w:szCs w:val="18"/>
              </w:rPr>
              <w:t>SDG17 (Partnerships)</w:t>
            </w:r>
          </w:p>
        </w:tc>
        <w:tc>
          <w:tcPr>
            <w:tcW w:w="2160" w:type="dxa"/>
          </w:tcPr>
          <w:p w14:paraId="4C7ECC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Add an SDG tag annex to G1036 and G1063 (ENG-2.4.1 / ENG-2.6.6). </w:t>
            </w:r>
          </w:p>
          <w:p w14:paraId="3777E0E8" w14:textId="77777777" w:rsidR="0093374D" w:rsidRPr="00F24E96" w:rsidRDefault="0093374D" w:rsidP="001727B0">
            <w:pPr>
              <w:rPr>
                <w:rFonts w:ascii="Calibri" w:hAnsi="Calibri"/>
                <w:sz w:val="18"/>
                <w:szCs w:val="18"/>
              </w:rPr>
            </w:pPr>
            <w:r w:rsidRPr="00F24E96">
              <w:rPr>
                <w:rFonts w:ascii="Calibri" w:hAnsi="Calibri"/>
                <w:sz w:val="18"/>
                <w:szCs w:val="18"/>
              </w:rPr>
              <w:t>Provide template procurement criteria (sustainable materials, reparability, EOL plan) as a deliverable under ENG-2.4.2.</w:t>
            </w:r>
          </w:p>
        </w:tc>
      </w:tr>
      <w:tr w:rsidR="0093374D" w:rsidRPr="00F24E96" w14:paraId="0759AB6A" w14:textId="77777777" w:rsidTr="001727B0">
        <w:tc>
          <w:tcPr>
            <w:tcW w:w="1530" w:type="dxa"/>
          </w:tcPr>
          <w:p w14:paraId="365A0A96"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3754F2CF" w14:textId="77777777" w:rsidR="0093374D" w:rsidRPr="00F24E96" w:rsidRDefault="0093374D" w:rsidP="001727B0">
            <w:pPr>
              <w:rPr>
                <w:rFonts w:ascii="Calibri" w:hAnsi="Calibri"/>
                <w:sz w:val="18"/>
                <w:szCs w:val="18"/>
              </w:rPr>
            </w:pPr>
            <w:r w:rsidRPr="00F24E96">
              <w:rPr>
                <w:rFonts w:ascii="Calibri" w:hAnsi="Calibri"/>
                <w:sz w:val="18"/>
                <w:szCs w:val="18"/>
              </w:rPr>
              <w:t>Aspects &amp; impacts register / sustainability reporting (gap in knowledge)</w:t>
            </w:r>
          </w:p>
        </w:tc>
        <w:tc>
          <w:tcPr>
            <w:tcW w:w="1440" w:type="dxa"/>
          </w:tcPr>
          <w:p w14:paraId="50F3D2A1" w14:textId="77777777" w:rsidR="0093374D" w:rsidRPr="00F24E96" w:rsidRDefault="0093374D" w:rsidP="001727B0">
            <w:pPr>
              <w:rPr>
                <w:rFonts w:ascii="Calibri" w:hAnsi="Calibri"/>
                <w:sz w:val="18"/>
                <w:szCs w:val="18"/>
              </w:rPr>
            </w:pPr>
            <w:r w:rsidRPr="00F24E96">
              <w:rPr>
                <w:rFonts w:ascii="Calibri" w:hAnsi="Calibri"/>
                <w:sz w:val="18"/>
                <w:szCs w:val="18"/>
              </w:rPr>
              <w:t>Add an annex/template to G1036 and G1077 with a simple aspects &amp; impacts register and reporting indicators</w:t>
            </w:r>
          </w:p>
        </w:tc>
        <w:tc>
          <w:tcPr>
            <w:tcW w:w="1440" w:type="dxa"/>
          </w:tcPr>
          <w:p w14:paraId="34E445C0"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&amp; sustainability</w:t>
            </w:r>
          </w:p>
          <w:p w14:paraId="3454B9BB" w14:textId="77777777" w:rsidR="0093374D" w:rsidRPr="00F24E96" w:rsidRDefault="0093374D" w:rsidP="001727B0">
            <w:pPr>
              <w:rPr>
                <w:rFonts w:ascii="Calibri" w:hAnsi="Calibri"/>
                <w:sz w:val="18"/>
                <w:szCs w:val="18"/>
              </w:rPr>
            </w:pPr>
          </w:p>
          <w:p w14:paraId="316612C0" w14:textId="77777777" w:rsidR="0093374D" w:rsidRPr="00F24E96" w:rsidRDefault="0093374D" w:rsidP="001727B0">
            <w:pPr>
              <w:rPr>
                <w:rFonts w:ascii="Calibri" w:hAnsi="Calibri"/>
                <w:sz w:val="18"/>
                <w:szCs w:val="18"/>
              </w:rPr>
            </w:pPr>
            <w:r w:rsidRPr="00F24E96">
              <w:rPr>
                <w:rFonts w:ascii="Calibri" w:hAnsi="Calibri"/>
                <w:sz w:val="18"/>
                <w:szCs w:val="18"/>
              </w:rPr>
              <w:t>S1010.4 Risk Management</w:t>
            </w:r>
          </w:p>
        </w:tc>
        <w:tc>
          <w:tcPr>
            <w:tcW w:w="1350" w:type="dxa"/>
          </w:tcPr>
          <w:p w14:paraId="33EA2518" w14:textId="77777777" w:rsidR="0093374D" w:rsidRPr="00F24E96" w:rsidRDefault="0093374D" w:rsidP="001727B0">
            <w:pPr>
              <w:rPr>
                <w:rFonts w:ascii="Calibri" w:hAnsi="Calibri"/>
                <w:sz w:val="18"/>
                <w:szCs w:val="18"/>
              </w:rPr>
            </w:pPr>
            <w:r w:rsidRPr="00F24E96">
              <w:rPr>
                <w:rFonts w:ascii="Calibri" w:hAnsi="Calibri"/>
                <w:sz w:val="18"/>
                <w:szCs w:val="18"/>
              </w:rPr>
              <w:t>ENG lead (G1036 revision), ARM to integrate with risk toolbox and monitoring tasks</w:t>
            </w:r>
          </w:p>
        </w:tc>
        <w:tc>
          <w:tcPr>
            <w:tcW w:w="1530" w:type="dxa"/>
          </w:tcPr>
          <w:p w14:paraId="389DDF4A" w14:textId="77777777" w:rsidR="0093374D" w:rsidRPr="00F24E96" w:rsidRDefault="0093374D" w:rsidP="001727B0">
            <w:pPr>
              <w:rPr>
                <w:rFonts w:ascii="Calibri" w:hAnsi="Calibri"/>
                <w:sz w:val="18"/>
                <w:szCs w:val="18"/>
              </w:rPr>
            </w:pPr>
            <w:r w:rsidRPr="00F24E96">
              <w:rPr>
                <w:rFonts w:ascii="Calibri" w:hAnsi="Calibri"/>
                <w:sz w:val="18"/>
                <w:szCs w:val="18"/>
              </w:rPr>
              <w:t>ENG-2.4.1 (G1036 revision) and ARM-1.4.4/1.4.7 (risk toolbox/scan).</w:t>
            </w:r>
          </w:p>
        </w:tc>
        <w:tc>
          <w:tcPr>
            <w:tcW w:w="1440" w:type="dxa"/>
          </w:tcPr>
          <w:p w14:paraId="1B8BDDFF" w14:textId="77777777" w:rsidR="0093374D" w:rsidRPr="00F24E96" w:rsidRDefault="0093374D" w:rsidP="001727B0">
            <w:pPr>
              <w:rPr>
                <w:rFonts w:ascii="Calibri" w:hAnsi="Calibri"/>
                <w:sz w:val="18"/>
                <w:szCs w:val="18"/>
              </w:rPr>
            </w:pPr>
            <w:r w:rsidRPr="00F24E96">
              <w:rPr>
                <w:rFonts w:ascii="Calibri" w:hAnsi="Calibri"/>
                <w:sz w:val="18"/>
                <w:szCs w:val="18"/>
              </w:rPr>
              <w:t>SDG12; SDG13</w:t>
            </w:r>
          </w:p>
        </w:tc>
        <w:tc>
          <w:tcPr>
            <w:tcW w:w="2160" w:type="dxa"/>
          </w:tcPr>
          <w:p w14:paraId="5FD03762" w14:textId="77777777" w:rsidR="0093374D" w:rsidRPr="00F24E96" w:rsidRDefault="0093374D" w:rsidP="001727B0">
            <w:pPr>
              <w:rPr>
                <w:rFonts w:ascii="Calibri" w:hAnsi="Calibri"/>
                <w:sz w:val="18"/>
                <w:szCs w:val="18"/>
              </w:rPr>
            </w:pPr>
            <w:r w:rsidRPr="00F24E96">
              <w:rPr>
                <w:rFonts w:ascii="Calibri" w:hAnsi="Calibri"/>
                <w:sz w:val="18"/>
                <w:szCs w:val="18"/>
              </w:rPr>
              <w:t xml:space="preserve">Produce a one-page template for operations (assets, activities, aspects, impacts, controls, KPIs) to be included in G1036 revision. </w:t>
            </w:r>
          </w:p>
          <w:p w14:paraId="51E989D6" w14:textId="77777777" w:rsidR="0093374D" w:rsidRPr="00F24E96" w:rsidRDefault="0093374D" w:rsidP="001727B0">
            <w:pPr>
              <w:rPr>
                <w:rFonts w:ascii="Calibri" w:hAnsi="Calibri"/>
                <w:sz w:val="18"/>
                <w:szCs w:val="18"/>
              </w:rPr>
            </w:pPr>
          </w:p>
        </w:tc>
      </w:tr>
      <w:tr w:rsidR="0093374D" w:rsidRPr="00F24E96" w14:paraId="7DE7741F" w14:textId="77777777" w:rsidTr="001727B0">
        <w:tc>
          <w:tcPr>
            <w:tcW w:w="1530" w:type="dxa"/>
          </w:tcPr>
          <w:p w14:paraId="1611BEBA" w14:textId="77777777" w:rsidR="0093374D" w:rsidRPr="00F24E96" w:rsidRDefault="0093374D" w:rsidP="001727B0">
            <w:pPr>
              <w:rPr>
                <w:rFonts w:ascii="Calibri" w:hAnsi="Calibri"/>
                <w:sz w:val="18"/>
                <w:szCs w:val="18"/>
              </w:rPr>
            </w:pPr>
            <w:r>
              <w:rPr>
                <w:rFonts w:ascii="Calibri" w:hAnsi="Calibri"/>
                <w:sz w:val="18"/>
                <w:szCs w:val="18"/>
              </w:rPr>
              <w:lastRenderedPageBreak/>
              <w:t>(</w:t>
            </w:r>
            <w:r w:rsidRPr="00F24E96">
              <w:rPr>
                <w:rFonts w:ascii="Calibri" w:hAnsi="Calibri"/>
                <w:sz w:val="18"/>
                <w:szCs w:val="18"/>
              </w:rPr>
              <w:t>WG3</w:t>
            </w:r>
            <w:r>
              <w:rPr>
                <w:rFonts w:ascii="Calibri" w:hAnsi="Calibri"/>
                <w:sz w:val="18"/>
                <w:szCs w:val="18"/>
              </w:rPr>
              <w:t>)</w:t>
            </w:r>
          </w:p>
          <w:p w14:paraId="41CEA868" w14:textId="77777777" w:rsidR="0093374D" w:rsidRPr="00F24E96" w:rsidRDefault="0093374D" w:rsidP="001727B0">
            <w:pPr>
              <w:rPr>
                <w:rFonts w:ascii="Calibri" w:hAnsi="Calibri"/>
                <w:sz w:val="18"/>
                <w:szCs w:val="18"/>
              </w:rPr>
            </w:pPr>
            <w:r w:rsidRPr="00F24E96">
              <w:rPr>
                <w:rFonts w:ascii="Calibri" w:hAnsi="Calibri"/>
                <w:sz w:val="18"/>
                <w:szCs w:val="18"/>
              </w:rPr>
              <w:t>Plastic vs steel buoy LCA (need for material LCA case studies)</w:t>
            </w:r>
          </w:p>
        </w:tc>
        <w:tc>
          <w:tcPr>
            <w:tcW w:w="1440" w:type="dxa"/>
          </w:tcPr>
          <w:p w14:paraId="301F7885" w14:textId="77777777" w:rsidR="0093374D" w:rsidRPr="00F24E96" w:rsidRDefault="0093374D" w:rsidP="001727B0">
            <w:pPr>
              <w:rPr>
                <w:rFonts w:ascii="Calibri" w:hAnsi="Calibri"/>
                <w:sz w:val="18"/>
                <w:szCs w:val="18"/>
              </w:rPr>
            </w:pPr>
            <w:r w:rsidRPr="00F24E96">
              <w:rPr>
                <w:rFonts w:ascii="Calibri" w:hAnsi="Calibri"/>
                <w:sz w:val="18"/>
                <w:szCs w:val="18"/>
              </w:rPr>
              <w:t>Commission / include life-cycle assessments (LCAs) as case studies and include guidance on material choices in G1036/G1066</w:t>
            </w:r>
          </w:p>
        </w:tc>
        <w:tc>
          <w:tcPr>
            <w:tcW w:w="1440" w:type="dxa"/>
          </w:tcPr>
          <w:p w14:paraId="425F5EE2" w14:textId="77777777" w:rsidR="0093374D" w:rsidRPr="00F24E96" w:rsidRDefault="0093374D" w:rsidP="001727B0">
            <w:pPr>
              <w:rPr>
                <w:rFonts w:ascii="Calibri" w:hAnsi="Calibri"/>
                <w:sz w:val="18"/>
                <w:szCs w:val="18"/>
              </w:rPr>
            </w:pPr>
            <w:r w:rsidRPr="00F24E96">
              <w:rPr>
                <w:rFonts w:ascii="Calibri" w:hAnsi="Calibri"/>
                <w:sz w:val="18"/>
                <w:szCs w:val="18"/>
              </w:rPr>
              <w:t>S1020.3 Floating AtoN</w:t>
            </w:r>
          </w:p>
          <w:p w14:paraId="5FC7D266" w14:textId="77777777" w:rsidR="0093374D" w:rsidRPr="00F24E96" w:rsidRDefault="0093374D" w:rsidP="001727B0">
            <w:pPr>
              <w:rPr>
                <w:rFonts w:ascii="Calibri" w:hAnsi="Calibri"/>
                <w:sz w:val="18"/>
                <w:szCs w:val="18"/>
              </w:rPr>
            </w:pPr>
            <w:r w:rsidRPr="00F24E96">
              <w:rPr>
                <w:rFonts w:ascii="Calibri" w:hAnsi="Calibri"/>
                <w:sz w:val="18"/>
                <w:szCs w:val="18"/>
              </w:rPr>
              <w:t>S1020.4 Environment and sustainability</w:t>
            </w:r>
          </w:p>
        </w:tc>
        <w:tc>
          <w:tcPr>
            <w:tcW w:w="1350" w:type="dxa"/>
          </w:tcPr>
          <w:p w14:paraId="0FDF8C24"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 lead (materials and structural guidance); </w:t>
            </w:r>
          </w:p>
          <w:p w14:paraId="0E1008F0" w14:textId="77777777" w:rsidR="0093374D" w:rsidRPr="00F24E96" w:rsidRDefault="0093374D" w:rsidP="001727B0">
            <w:pPr>
              <w:rPr>
                <w:rFonts w:ascii="Calibri" w:hAnsi="Calibri"/>
                <w:sz w:val="18"/>
                <w:szCs w:val="18"/>
              </w:rPr>
            </w:pPr>
            <w:r w:rsidRPr="00F24E96">
              <w:rPr>
                <w:rFonts w:ascii="Calibri" w:hAnsi="Calibri"/>
                <w:sz w:val="18"/>
                <w:szCs w:val="18"/>
              </w:rPr>
              <w:t>ARM for operational implications</w:t>
            </w:r>
          </w:p>
        </w:tc>
        <w:tc>
          <w:tcPr>
            <w:tcW w:w="1530" w:type="dxa"/>
          </w:tcPr>
          <w:p w14:paraId="18339A15"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ENG-2.3.x floating AtoN tasks (ENG-2.3.2 finished) ENG-2.3.4 update G1066 </w:t>
            </w:r>
          </w:p>
          <w:p w14:paraId="0EAAE8A1" w14:textId="77777777" w:rsidR="0093374D" w:rsidRPr="00F24E96" w:rsidRDefault="0093374D" w:rsidP="001727B0">
            <w:pPr>
              <w:rPr>
                <w:rFonts w:ascii="Calibri" w:hAnsi="Calibri"/>
                <w:sz w:val="18"/>
                <w:szCs w:val="18"/>
              </w:rPr>
            </w:pPr>
            <w:r w:rsidRPr="00F24E96">
              <w:rPr>
                <w:rFonts w:ascii="Calibri" w:hAnsi="Calibri"/>
                <w:sz w:val="18"/>
                <w:szCs w:val="18"/>
              </w:rPr>
              <w:t>ENG-2.2.7 amalgamated guideline on extreme conditions)</w:t>
            </w:r>
          </w:p>
        </w:tc>
        <w:tc>
          <w:tcPr>
            <w:tcW w:w="1440" w:type="dxa"/>
          </w:tcPr>
          <w:p w14:paraId="4DAB2987" w14:textId="77777777" w:rsidR="0093374D" w:rsidRPr="00F24E96" w:rsidRDefault="0093374D" w:rsidP="001727B0">
            <w:pPr>
              <w:rPr>
                <w:rFonts w:ascii="Calibri" w:hAnsi="Calibri"/>
                <w:sz w:val="18"/>
                <w:szCs w:val="18"/>
              </w:rPr>
            </w:pPr>
            <w:r w:rsidRPr="00F24E96">
              <w:rPr>
                <w:rFonts w:ascii="Calibri" w:hAnsi="Calibri"/>
                <w:sz w:val="18"/>
                <w:szCs w:val="18"/>
              </w:rPr>
              <w:t>SDG12; SDG9</w:t>
            </w:r>
          </w:p>
        </w:tc>
        <w:tc>
          <w:tcPr>
            <w:tcW w:w="2160" w:type="dxa"/>
          </w:tcPr>
          <w:p w14:paraId="3A64ECFF" w14:textId="77777777" w:rsidR="0093374D" w:rsidRPr="00F24E96" w:rsidRDefault="0093374D" w:rsidP="001727B0">
            <w:pPr>
              <w:rPr>
                <w:rFonts w:ascii="Calibri" w:hAnsi="Calibri"/>
                <w:sz w:val="18"/>
                <w:szCs w:val="18"/>
              </w:rPr>
            </w:pPr>
            <w:r w:rsidRPr="00F24E96">
              <w:rPr>
                <w:rFonts w:ascii="Calibri" w:hAnsi="Calibri"/>
                <w:sz w:val="18"/>
                <w:szCs w:val="18"/>
              </w:rPr>
              <w:t xml:space="preserve">Use existing LCA as a case study to include in G1066 update (ENG-2.3.4) and in G1036 revision. </w:t>
            </w:r>
          </w:p>
          <w:p w14:paraId="4CE4BB04" w14:textId="77777777" w:rsidR="0093374D" w:rsidRPr="00F24E96" w:rsidRDefault="0093374D" w:rsidP="001727B0">
            <w:pPr>
              <w:rPr>
                <w:rFonts w:ascii="Calibri" w:hAnsi="Calibri"/>
                <w:sz w:val="18"/>
                <w:szCs w:val="18"/>
              </w:rPr>
            </w:pPr>
            <w:r w:rsidRPr="00F24E96">
              <w:rPr>
                <w:rFonts w:ascii="Calibri" w:hAnsi="Calibri"/>
                <w:sz w:val="18"/>
                <w:szCs w:val="18"/>
              </w:rPr>
              <w:t>Recommend commissioning 1–2 additional LCAs in different climates (cold/tropical).</w:t>
            </w:r>
          </w:p>
        </w:tc>
      </w:tr>
      <w:tr w:rsidR="0093374D" w:rsidRPr="00F24E96" w14:paraId="5E954CB4" w14:textId="77777777" w:rsidTr="001727B0">
        <w:tc>
          <w:tcPr>
            <w:tcW w:w="1530" w:type="dxa"/>
          </w:tcPr>
          <w:p w14:paraId="335ECA24"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WG3</w:t>
            </w:r>
            <w:r>
              <w:rPr>
                <w:rFonts w:ascii="Calibri" w:hAnsi="Calibri"/>
                <w:sz w:val="18"/>
                <w:szCs w:val="18"/>
              </w:rPr>
              <w:t>)</w:t>
            </w:r>
          </w:p>
          <w:p w14:paraId="567D8ABD" w14:textId="77777777" w:rsidR="0093374D" w:rsidRPr="00F24E96" w:rsidRDefault="0093374D" w:rsidP="001727B0">
            <w:pPr>
              <w:rPr>
                <w:rFonts w:ascii="Calibri" w:hAnsi="Calibri"/>
                <w:sz w:val="18"/>
                <w:szCs w:val="18"/>
              </w:rPr>
            </w:pPr>
            <w:r w:rsidRPr="00F24E96">
              <w:rPr>
                <w:rFonts w:ascii="Calibri" w:hAnsi="Calibri"/>
                <w:sz w:val="18"/>
                <w:szCs w:val="18"/>
              </w:rPr>
              <w:t>Sustainability reporting and guidance for less-developed countries</w:t>
            </w:r>
          </w:p>
        </w:tc>
        <w:tc>
          <w:tcPr>
            <w:tcW w:w="1440" w:type="dxa"/>
          </w:tcPr>
          <w:p w14:paraId="29404F53" w14:textId="77777777" w:rsidR="0093374D" w:rsidRPr="00F24E96" w:rsidRDefault="0093374D" w:rsidP="001727B0">
            <w:pPr>
              <w:rPr>
                <w:rFonts w:ascii="Calibri" w:hAnsi="Calibri"/>
                <w:sz w:val="18"/>
                <w:szCs w:val="18"/>
              </w:rPr>
            </w:pPr>
            <w:r w:rsidRPr="00F24E96">
              <w:rPr>
                <w:rFonts w:ascii="Calibri" w:hAnsi="Calibri"/>
                <w:sz w:val="18"/>
                <w:szCs w:val="18"/>
              </w:rPr>
              <w:t>Create simplified reporting templates and run regional workshops to build capacity</w:t>
            </w:r>
          </w:p>
        </w:tc>
        <w:tc>
          <w:tcPr>
            <w:tcW w:w="1440" w:type="dxa"/>
          </w:tcPr>
          <w:p w14:paraId="232FF4C0" w14:textId="77777777" w:rsidR="0093374D" w:rsidRPr="00F24E96" w:rsidRDefault="0093374D" w:rsidP="001727B0">
            <w:pPr>
              <w:rPr>
                <w:rFonts w:ascii="Calibri" w:hAnsi="Calibri"/>
                <w:sz w:val="18"/>
                <w:szCs w:val="18"/>
              </w:rPr>
            </w:pPr>
            <w:r w:rsidRPr="00F24E96">
              <w:rPr>
                <w:rFonts w:ascii="Calibri" w:hAnsi="Calibri"/>
                <w:sz w:val="18"/>
                <w:szCs w:val="18"/>
              </w:rPr>
              <w:t xml:space="preserve">S1050 (Capacity building) </w:t>
            </w:r>
          </w:p>
          <w:p w14:paraId="01CD3C2D" w14:textId="77777777" w:rsidR="0093374D" w:rsidRPr="00F24E96" w:rsidRDefault="0093374D" w:rsidP="001727B0">
            <w:pPr>
              <w:rPr>
                <w:rFonts w:ascii="Calibri" w:hAnsi="Calibri"/>
                <w:sz w:val="18"/>
                <w:szCs w:val="18"/>
              </w:rPr>
            </w:pPr>
          </w:p>
          <w:p w14:paraId="398A3655" w14:textId="77777777" w:rsidR="0093374D" w:rsidRPr="00F24E96" w:rsidRDefault="0093374D" w:rsidP="001727B0">
            <w:pPr>
              <w:rPr>
                <w:rFonts w:ascii="Calibri" w:hAnsi="Calibri"/>
                <w:sz w:val="18"/>
                <w:szCs w:val="18"/>
              </w:rPr>
            </w:pPr>
            <w:r w:rsidRPr="00F24E96">
              <w:rPr>
                <w:rFonts w:ascii="Calibri" w:hAnsi="Calibri"/>
                <w:sz w:val="18"/>
                <w:szCs w:val="18"/>
              </w:rPr>
              <w:t>S1010 (planning)</w:t>
            </w:r>
          </w:p>
        </w:tc>
        <w:tc>
          <w:tcPr>
            <w:tcW w:w="1350" w:type="dxa"/>
          </w:tcPr>
          <w:p w14:paraId="06532643" w14:textId="77777777" w:rsidR="0093374D" w:rsidRPr="00F24E96" w:rsidRDefault="0093374D" w:rsidP="001727B0">
            <w:pPr>
              <w:rPr>
                <w:rFonts w:ascii="Calibri" w:hAnsi="Calibri"/>
                <w:sz w:val="18"/>
                <w:szCs w:val="18"/>
              </w:rPr>
            </w:pPr>
            <w:r w:rsidRPr="00F24E96">
              <w:rPr>
                <w:rFonts w:ascii="Calibri" w:hAnsi="Calibri"/>
                <w:sz w:val="18"/>
                <w:szCs w:val="18"/>
              </w:rPr>
              <w:t>WWA/ARM (training and capacity)</w:t>
            </w:r>
          </w:p>
          <w:p w14:paraId="3EEF987B" w14:textId="77777777" w:rsidR="0093374D" w:rsidRPr="00F24E96" w:rsidRDefault="0093374D" w:rsidP="001727B0">
            <w:pPr>
              <w:rPr>
                <w:rFonts w:ascii="Calibri" w:hAnsi="Calibri"/>
                <w:sz w:val="18"/>
                <w:szCs w:val="18"/>
              </w:rPr>
            </w:pPr>
            <w:r w:rsidRPr="00F24E96">
              <w:rPr>
                <w:rFonts w:ascii="Calibri" w:hAnsi="Calibri"/>
                <w:sz w:val="18"/>
                <w:szCs w:val="18"/>
              </w:rPr>
              <w:t>ENG for technical guidance</w:t>
            </w:r>
          </w:p>
        </w:tc>
        <w:tc>
          <w:tcPr>
            <w:tcW w:w="1530" w:type="dxa"/>
          </w:tcPr>
          <w:p w14:paraId="08B96CBF"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DTEC/WWA training tasks (DTEC-5.1.2, ARM-5.1.x, ENG-5.1.1) </w:t>
            </w:r>
          </w:p>
          <w:p w14:paraId="4C8D887E" w14:textId="77777777" w:rsidR="0093374D" w:rsidRPr="00F24E96" w:rsidRDefault="0093374D" w:rsidP="001727B0">
            <w:pPr>
              <w:rPr>
                <w:rFonts w:ascii="Calibri" w:hAnsi="Calibri"/>
                <w:sz w:val="18"/>
                <w:szCs w:val="18"/>
              </w:rPr>
            </w:pPr>
            <w:r w:rsidRPr="00F24E96">
              <w:rPr>
                <w:rFonts w:ascii="Calibri" w:hAnsi="Calibri"/>
                <w:sz w:val="18"/>
                <w:szCs w:val="18"/>
              </w:rPr>
              <w:t xml:space="preserve">ARM SIDS project (ARM-2.2.5). </w:t>
            </w:r>
          </w:p>
          <w:p w14:paraId="6CBA30F3" w14:textId="77777777" w:rsidR="0093374D" w:rsidRPr="00F24E96" w:rsidRDefault="0093374D" w:rsidP="001727B0">
            <w:pPr>
              <w:rPr>
                <w:rFonts w:ascii="Calibri" w:hAnsi="Calibri"/>
                <w:sz w:val="18"/>
                <w:szCs w:val="18"/>
              </w:rPr>
            </w:pPr>
          </w:p>
        </w:tc>
        <w:tc>
          <w:tcPr>
            <w:tcW w:w="1440" w:type="dxa"/>
          </w:tcPr>
          <w:p w14:paraId="3DF4B8B0" w14:textId="77777777" w:rsidR="0093374D" w:rsidRPr="00F24E96" w:rsidRDefault="0093374D" w:rsidP="001727B0">
            <w:pPr>
              <w:rPr>
                <w:rFonts w:ascii="Calibri" w:hAnsi="Calibri"/>
                <w:sz w:val="18"/>
                <w:szCs w:val="18"/>
              </w:rPr>
            </w:pPr>
            <w:r w:rsidRPr="00F24E96">
              <w:rPr>
                <w:rFonts w:ascii="Calibri" w:hAnsi="Calibri"/>
                <w:sz w:val="18"/>
                <w:szCs w:val="18"/>
              </w:rPr>
              <w:t>SDG4; SDG10; SDG17</w:t>
            </w:r>
          </w:p>
        </w:tc>
        <w:tc>
          <w:tcPr>
            <w:tcW w:w="2160" w:type="dxa"/>
          </w:tcPr>
          <w:p w14:paraId="705E0CAE" w14:textId="77777777" w:rsidR="0093374D" w:rsidRPr="00F24E96" w:rsidRDefault="0093374D" w:rsidP="001727B0">
            <w:pPr>
              <w:rPr>
                <w:rFonts w:ascii="Calibri" w:hAnsi="Calibri"/>
                <w:sz w:val="18"/>
                <w:szCs w:val="18"/>
              </w:rPr>
            </w:pPr>
            <w:r w:rsidRPr="00F24E96">
              <w:rPr>
                <w:rFonts w:ascii="Calibri" w:hAnsi="Calibri"/>
                <w:sz w:val="18"/>
                <w:szCs w:val="18"/>
              </w:rPr>
              <w:t>Deliver a Sustainability Starter Pack (1-page report + KPI set + workshop slide deck) and pilot in 2 regions via ARM-2.2.5 SIDS project.</w:t>
            </w:r>
          </w:p>
          <w:p w14:paraId="631959C2" w14:textId="77777777" w:rsidR="0093374D" w:rsidRPr="00F24E96" w:rsidRDefault="0093374D" w:rsidP="001727B0">
            <w:pPr>
              <w:rPr>
                <w:rFonts w:ascii="Calibri" w:hAnsi="Calibri"/>
                <w:sz w:val="18"/>
                <w:szCs w:val="18"/>
              </w:rPr>
            </w:pPr>
          </w:p>
        </w:tc>
      </w:tr>
      <w:tr w:rsidR="0093374D" w:rsidRPr="00F24E96" w14:paraId="4DBC2132" w14:textId="77777777" w:rsidTr="001727B0">
        <w:tc>
          <w:tcPr>
            <w:tcW w:w="1530" w:type="dxa"/>
          </w:tcPr>
          <w:p w14:paraId="20AC7E71" w14:textId="77777777" w:rsidR="0093374D" w:rsidRPr="00F24E96" w:rsidRDefault="0093374D" w:rsidP="001727B0">
            <w:pPr>
              <w:rPr>
                <w:rFonts w:ascii="Calibri" w:hAnsi="Calibri"/>
                <w:sz w:val="18"/>
                <w:szCs w:val="18"/>
              </w:rPr>
            </w:pPr>
            <w:r>
              <w:rPr>
                <w:rFonts w:ascii="Calibri" w:hAnsi="Calibri"/>
                <w:sz w:val="18"/>
                <w:szCs w:val="18"/>
              </w:rPr>
              <w:t>(</w:t>
            </w:r>
            <w:r w:rsidRPr="00F24E96">
              <w:rPr>
                <w:rFonts w:ascii="Calibri" w:hAnsi="Calibri"/>
                <w:sz w:val="18"/>
                <w:szCs w:val="18"/>
              </w:rPr>
              <w:t>WG4</w:t>
            </w:r>
            <w:r>
              <w:rPr>
                <w:rFonts w:ascii="Calibri" w:hAnsi="Calibri"/>
                <w:sz w:val="18"/>
                <w:szCs w:val="18"/>
              </w:rPr>
              <w:t>)</w:t>
            </w:r>
          </w:p>
          <w:p w14:paraId="147B81DB" w14:textId="77777777" w:rsidR="0093374D" w:rsidRPr="00F24E96" w:rsidRDefault="0093374D" w:rsidP="001727B0">
            <w:pPr>
              <w:rPr>
                <w:rFonts w:ascii="Calibri" w:hAnsi="Calibri"/>
                <w:sz w:val="18"/>
                <w:szCs w:val="18"/>
              </w:rPr>
            </w:pPr>
            <w:r w:rsidRPr="00F24E96">
              <w:rPr>
                <w:rFonts w:ascii="Calibri" w:hAnsi="Calibri"/>
                <w:sz w:val="18"/>
                <w:szCs w:val="18"/>
              </w:rPr>
              <w:t xml:space="preserve">Skills, training, and capacity building </w:t>
            </w:r>
          </w:p>
        </w:tc>
        <w:tc>
          <w:tcPr>
            <w:tcW w:w="1440" w:type="dxa"/>
          </w:tcPr>
          <w:p w14:paraId="61316900" w14:textId="77777777" w:rsidR="0093374D" w:rsidRPr="00F24E96" w:rsidRDefault="0093374D" w:rsidP="001727B0">
            <w:pPr>
              <w:rPr>
                <w:rFonts w:ascii="Calibri" w:hAnsi="Calibri"/>
                <w:sz w:val="18"/>
                <w:szCs w:val="18"/>
              </w:rPr>
            </w:pPr>
            <w:r w:rsidRPr="00F24E96">
              <w:rPr>
                <w:rFonts w:ascii="Calibri" w:hAnsi="Calibri"/>
                <w:sz w:val="18"/>
                <w:szCs w:val="18"/>
              </w:rPr>
              <w:t>Integrate sustainability into WWA modules (level 1.1 and others); create modules on sustainability reporting, procurement, and data analytics</w:t>
            </w:r>
          </w:p>
        </w:tc>
        <w:tc>
          <w:tcPr>
            <w:tcW w:w="1440" w:type="dxa"/>
          </w:tcPr>
          <w:p w14:paraId="3F9618EA" w14:textId="77777777" w:rsidR="0093374D" w:rsidRPr="00F24E96" w:rsidRDefault="0093374D" w:rsidP="001727B0">
            <w:pPr>
              <w:rPr>
                <w:rFonts w:ascii="Calibri" w:hAnsi="Calibri"/>
                <w:sz w:val="18"/>
                <w:szCs w:val="18"/>
              </w:rPr>
            </w:pPr>
            <w:r w:rsidRPr="00F24E96">
              <w:rPr>
                <w:rFonts w:ascii="Calibri" w:hAnsi="Calibri"/>
                <w:sz w:val="18"/>
                <w:szCs w:val="18"/>
              </w:rPr>
              <w:t>S1050 Training and Certification (5.1 modules)</w:t>
            </w:r>
          </w:p>
        </w:tc>
        <w:tc>
          <w:tcPr>
            <w:tcW w:w="1350" w:type="dxa"/>
          </w:tcPr>
          <w:p w14:paraId="7C46A2C5" w14:textId="77777777" w:rsidR="0093374D" w:rsidRPr="00F24E96" w:rsidRDefault="0093374D" w:rsidP="001727B0">
            <w:pPr>
              <w:rPr>
                <w:rFonts w:ascii="Calibri" w:hAnsi="Calibri"/>
                <w:sz w:val="18"/>
                <w:szCs w:val="18"/>
              </w:rPr>
            </w:pPr>
            <w:r w:rsidRPr="00F24E96">
              <w:rPr>
                <w:rFonts w:ascii="Calibri" w:hAnsi="Calibri"/>
                <w:sz w:val="18"/>
                <w:szCs w:val="18"/>
              </w:rPr>
              <w:t>WWA / DTEC / ENG / ARM joint work for course updates</w:t>
            </w:r>
          </w:p>
        </w:tc>
        <w:tc>
          <w:tcPr>
            <w:tcW w:w="1530" w:type="dxa"/>
          </w:tcPr>
          <w:p w14:paraId="3CDF50A2" w14:textId="77777777" w:rsidR="0093374D" w:rsidRPr="00F24E96" w:rsidRDefault="0093374D" w:rsidP="001727B0">
            <w:pPr>
              <w:rPr>
                <w:rFonts w:ascii="Calibri" w:hAnsi="Calibri"/>
                <w:sz w:val="18"/>
                <w:szCs w:val="18"/>
              </w:rPr>
            </w:pPr>
            <w:r w:rsidRPr="00F24E96">
              <w:rPr>
                <w:rFonts w:ascii="Calibri" w:hAnsi="Calibri"/>
                <w:sz w:val="18"/>
                <w:szCs w:val="18"/>
              </w:rPr>
              <w:t xml:space="preserve">DTEC-5.1.2 (training in digital solutions), </w:t>
            </w:r>
          </w:p>
          <w:p w14:paraId="5E25346F" w14:textId="77777777" w:rsidR="0093374D" w:rsidRPr="00F24E96" w:rsidRDefault="0093374D" w:rsidP="001727B0">
            <w:pPr>
              <w:rPr>
                <w:rFonts w:ascii="Calibri" w:hAnsi="Calibri"/>
                <w:sz w:val="18"/>
                <w:szCs w:val="18"/>
              </w:rPr>
            </w:pPr>
            <w:r w:rsidRPr="00F24E96">
              <w:rPr>
                <w:rFonts w:ascii="Calibri" w:hAnsi="Calibri"/>
                <w:sz w:val="18"/>
                <w:szCs w:val="18"/>
              </w:rPr>
              <w:t xml:space="preserve">ENG-5.1.1 / ARM-5.1.3 WWA module reviews. </w:t>
            </w:r>
          </w:p>
        </w:tc>
        <w:tc>
          <w:tcPr>
            <w:tcW w:w="1440" w:type="dxa"/>
          </w:tcPr>
          <w:p w14:paraId="54598181" w14:textId="77777777" w:rsidR="0093374D" w:rsidRPr="00F24E96" w:rsidRDefault="0093374D" w:rsidP="001727B0">
            <w:pPr>
              <w:rPr>
                <w:rFonts w:ascii="Calibri" w:hAnsi="Calibri"/>
                <w:sz w:val="18"/>
                <w:szCs w:val="18"/>
              </w:rPr>
            </w:pPr>
            <w:r w:rsidRPr="00F24E96">
              <w:rPr>
                <w:rFonts w:ascii="Calibri" w:hAnsi="Calibri"/>
                <w:sz w:val="18"/>
                <w:szCs w:val="18"/>
              </w:rPr>
              <w:t>SDG4 (Quality Education); SDG13</w:t>
            </w:r>
          </w:p>
        </w:tc>
        <w:tc>
          <w:tcPr>
            <w:tcW w:w="2160" w:type="dxa"/>
          </w:tcPr>
          <w:p w14:paraId="08CA2362" w14:textId="77777777" w:rsidR="0093374D" w:rsidRPr="00F24E96" w:rsidRDefault="0093374D" w:rsidP="001727B0">
            <w:pPr>
              <w:rPr>
                <w:rFonts w:ascii="Calibri" w:hAnsi="Calibri"/>
                <w:sz w:val="18"/>
                <w:szCs w:val="18"/>
              </w:rPr>
            </w:pPr>
            <w:r w:rsidRPr="00F24E96">
              <w:rPr>
                <w:rFonts w:ascii="Calibri" w:hAnsi="Calibri"/>
                <w:sz w:val="18"/>
                <w:szCs w:val="18"/>
              </w:rPr>
              <w:t>Short WWA sustainability module for L1.1; a training pack for sustainability reporting and carbon tool. Pilot via DTEC-5.1.2 and ENG/ARM WWA reviews.</w:t>
            </w:r>
          </w:p>
        </w:tc>
      </w:tr>
    </w:tbl>
    <w:p w14:paraId="455256A7" w14:textId="77777777" w:rsidR="0093374D" w:rsidRPr="00DE76A7" w:rsidRDefault="0093374D" w:rsidP="0093374D">
      <w:pPr>
        <w:rPr>
          <w:lang w:eastAsia="de-DE"/>
        </w:rPr>
      </w:pPr>
    </w:p>
    <w:p w14:paraId="158559A8" w14:textId="77777777" w:rsidR="0093374D" w:rsidRPr="009D00EB" w:rsidRDefault="0093374D" w:rsidP="0093374D">
      <w:pPr>
        <w:pStyle w:val="BodyText"/>
        <w:rPr>
          <w:lang w:eastAsia="de-DE"/>
        </w:rPr>
      </w:pPr>
    </w:p>
    <w:sectPr w:rsidR="0093374D" w:rsidRPr="009D00EB" w:rsidSect="00D66AEF">
      <w:headerReference w:type="default" r:id="rId11"/>
      <w:footerReference w:type="default" r:id="rId12"/>
      <w:headerReference w:type="firs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722A9" w14:textId="77777777" w:rsidR="006E3052" w:rsidRPr="009D00EB" w:rsidRDefault="006E3052" w:rsidP="00362CD9">
      <w:r w:rsidRPr="009D00EB">
        <w:separator/>
      </w:r>
    </w:p>
  </w:endnote>
  <w:endnote w:type="continuationSeparator" w:id="0">
    <w:p w14:paraId="212C1CBE" w14:textId="77777777" w:rsidR="006E3052" w:rsidRPr="009D00EB" w:rsidRDefault="006E3052" w:rsidP="00362CD9">
      <w:r w:rsidRPr="009D00E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DA91EB8" w:rsidR="00362CD9" w:rsidRPr="009D00EB" w:rsidRDefault="00362CD9">
    <w:pPr>
      <w:pStyle w:val="Footer"/>
      <w:rPr>
        <w:rFonts w:ascii="Calibri" w:hAnsi="Calibri"/>
      </w:rPr>
    </w:pPr>
    <w:r w:rsidRPr="009D00EB">
      <w:rPr>
        <w:rFonts w:ascii="Calibri" w:hAnsi="Calibri"/>
      </w:rPr>
      <w:tab/>
    </w:r>
    <w:r w:rsidRPr="009D00EB">
      <w:rPr>
        <w:rFonts w:ascii="Calibri" w:hAnsi="Calibri"/>
      </w:rPr>
      <w:fldChar w:fldCharType="begin"/>
    </w:r>
    <w:r w:rsidRPr="009D00EB">
      <w:rPr>
        <w:rFonts w:ascii="Calibri" w:hAnsi="Calibri"/>
      </w:rPr>
      <w:instrText xml:space="preserve"> PAGE   \* MERGEFORMAT </w:instrText>
    </w:r>
    <w:r w:rsidRPr="009D00EB">
      <w:rPr>
        <w:rFonts w:ascii="Calibri" w:hAnsi="Calibri"/>
      </w:rPr>
      <w:fldChar w:fldCharType="separate"/>
    </w:r>
    <w:r w:rsidR="00EE3CC5" w:rsidRPr="009D00EB">
      <w:rPr>
        <w:rFonts w:ascii="Calibri" w:hAnsi="Calibri"/>
        <w:noProof/>
      </w:rPr>
      <w:t>5</w:t>
    </w:r>
    <w:r w:rsidRPr="009D00E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AF277" w14:textId="77777777" w:rsidR="006E3052" w:rsidRPr="009D00EB" w:rsidRDefault="006E3052" w:rsidP="00362CD9">
      <w:r w:rsidRPr="009D00EB">
        <w:separator/>
      </w:r>
    </w:p>
  </w:footnote>
  <w:footnote w:type="continuationSeparator" w:id="0">
    <w:p w14:paraId="0F714F34" w14:textId="77777777" w:rsidR="006E3052" w:rsidRPr="009D00EB" w:rsidRDefault="006E3052" w:rsidP="00362CD9">
      <w:r w:rsidRPr="009D00EB">
        <w:continuationSeparator/>
      </w:r>
    </w:p>
  </w:footnote>
  <w:footnote w:id="1">
    <w:p w14:paraId="1A57C9AB" w14:textId="68D157EC" w:rsidR="00242728" w:rsidRDefault="00242728">
      <w:pPr>
        <w:pStyle w:val="FootnoteText"/>
      </w:pPr>
      <w:r w:rsidRPr="009D00EB">
        <w:rPr>
          <w:rStyle w:val="FootnoteReference"/>
        </w:rPr>
        <w:footnoteRef/>
      </w:r>
      <w:r w:rsidRPr="009D00EB">
        <w:t xml:space="preserve"> IALA Strategic Vision, Edition 2.0, June 2023, urn:mrn:iala:pub:p0001:ed2.0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7CBBFFC9" w:rsidR="007C346C" w:rsidRPr="009D00EB" w:rsidRDefault="007A395D" w:rsidP="007A395D">
    <w:pPr>
      <w:pStyle w:val="Header"/>
      <w:jc w:val="right"/>
    </w:pPr>
    <w:r w:rsidRPr="009D00EB">
      <w:rPr>
        <w:noProof/>
      </w:rPr>
      <w:drawing>
        <wp:anchor distT="0" distB="0" distL="114300" distR="114300" simplePos="0" relativeHeight="251665408" behindDoc="0" locked="0" layoutInCell="1" allowOverlap="1" wp14:anchorId="1057C1DB" wp14:editId="14A3718B">
          <wp:simplePos x="0" y="0"/>
          <wp:positionH relativeFrom="column">
            <wp:posOffset>5533390</wp:posOffset>
          </wp:positionH>
          <wp:positionV relativeFrom="paragraph">
            <wp:posOffset>-294005</wp:posOffset>
          </wp:positionV>
          <wp:extent cx="574675" cy="560070"/>
          <wp:effectExtent l="0" t="0" r="0" b="0"/>
          <wp:wrapSquare wrapText="bothSides"/>
          <wp:docPr id="1106990878" name="Picture 1106990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Pr="009D00EB" w:rsidRDefault="00BC2334" w:rsidP="007A395D">
    <w:pPr>
      <w:pStyle w:val="Header"/>
      <w:jc w:val="center"/>
    </w:pPr>
    <w:r w:rsidRPr="009D00EB">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1709565658" name="Picture 1709565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Pr="009D00EB" w:rsidRDefault="00BC2334" w:rsidP="007A395D">
    <w:pPr>
      <w:pStyle w:val="Header"/>
      <w:jc w:val="center"/>
    </w:pPr>
  </w:p>
  <w:p w14:paraId="43F3C4F1" w14:textId="27B5BF93" w:rsidR="007C346C" w:rsidRPr="009D00EB"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8C7661"/>
    <w:multiLevelType w:val="hybridMultilevel"/>
    <w:tmpl w:val="B21C8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43491"/>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AA321A"/>
    <w:multiLevelType w:val="hybridMultilevel"/>
    <w:tmpl w:val="868C2D36"/>
    <w:lvl w:ilvl="0" w:tplc="C1289A6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B3738"/>
    <w:multiLevelType w:val="hybridMultilevel"/>
    <w:tmpl w:val="E4BA5D5E"/>
    <w:lvl w:ilvl="0" w:tplc="817C13EA">
      <w:start w:val="1"/>
      <w:numFmt w:val="bullet"/>
      <w:lvlText w:val=""/>
      <w:lvlJc w:val="left"/>
      <w:pPr>
        <w:ind w:left="720" w:hanging="360"/>
      </w:pPr>
      <w:rPr>
        <w:rFonts w:ascii="Symbol" w:hAnsi="Symbol" w:hint="default"/>
        <w:color w:val="365F91" w:themeColor="accent1" w:themeShade="BF"/>
      </w:rPr>
    </w:lvl>
    <w:lvl w:ilvl="1" w:tplc="31BAF29E">
      <w:numFmt w:val="bullet"/>
      <w:lvlText w:val="•"/>
      <w:lvlJc w:val="left"/>
      <w:pPr>
        <w:ind w:left="1800" w:hanging="720"/>
      </w:pPr>
      <w:rPr>
        <w:rFonts w:ascii="Calibri" w:eastAsia="Batang"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86F033B"/>
    <w:multiLevelType w:val="multilevel"/>
    <w:tmpl w:val="418C2924"/>
    <w:lvl w:ilvl="0">
      <w:start w:val="1"/>
      <w:numFmt w:val="bullet"/>
      <w:lvlText w:val=""/>
      <w:lvlJc w:val="left"/>
      <w:pPr>
        <w:tabs>
          <w:tab w:val="num" w:pos="720"/>
        </w:tabs>
        <w:ind w:left="720" w:hanging="360"/>
      </w:pPr>
      <w:rPr>
        <w:rFonts w:ascii="Symbol" w:hAnsi="Symbol" w:hint="default"/>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14456D7"/>
    <w:multiLevelType w:val="hybridMultilevel"/>
    <w:tmpl w:val="D6F8847C"/>
    <w:lvl w:ilvl="0" w:tplc="EBCA460E">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57A69BF"/>
    <w:multiLevelType w:val="hybridMultilevel"/>
    <w:tmpl w:val="136ECBAA"/>
    <w:lvl w:ilvl="0" w:tplc="EFC276FC">
      <w:start w:val="1"/>
      <w:numFmt w:val="bullet"/>
      <w:lvlText w:val=""/>
      <w:lvlJc w:val="left"/>
      <w:pPr>
        <w:ind w:left="1440" w:hanging="360"/>
      </w:pPr>
      <w:rPr>
        <w:rFonts w:ascii="Symbol" w:hAnsi="Symbol" w:hint="default"/>
        <w:color w:val="365F91" w:themeColor="accent1" w:themeShade="BF"/>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27924C0F"/>
    <w:multiLevelType w:val="hybridMultilevel"/>
    <w:tmpl w:val="3FD683E4"/>
    <w:lvl w:ilvl="0" w:tplc="3EF49124">
      <w:start w:val="1"/>
      <w:numFmt w:val="bullet"/>
      <w:lvlText w:val=""/>
      <w:lvlJc w:val="left"/>
      <w:pPr>
        <w:ind w:left="720" w:hanging="360"/>
      </w:pPr>
      <w:rPr>
        <w:rFonts w:ascii="Symbol" w:hAnsi="Symbol" w:hint="default"/>
        <w:b/>
        <w:bCs/>
        <w:color w:val="00558C"/>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877F51"/>
    <w:multiLevelType w:val="hybridMultilevel"/>
    <w:tmpl w:val="DB4688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6" w15:restartNumberingAfterBreak="0">
    <w:nsid w:val="43751ACD"/>
    <w:multiLevelType w:val="multilevel"/>
    <w:tmpl w:val="07B06DB2"/>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7"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A012F8"/>
    <w:multiLevelType w:val="multilevel"/>
    <w:tmpl w:val="CD629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77B4EB2"/>
    <w:multiLevelType w:val="hybridMultilevel"/>
    <w:tmpl w:val="B5CE3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434570"/>
    <w:multiLevelType w:val="hybridMultilevel"/>
    <w:tmpl w:val="0BC629D4"/>
    <w:lvl w:ilvl="0" w:tplc="139A3B0A">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15:restartNumberingAfterBreak="0">
    <w:nsid w:val="641F5513"/>
    <w:multiLevelType w:val="hybridMultilevel"/>
    <w:tmpl w:val="F53A5DB8"/>
    <w:lvl w:ilvl="0" w:tplc="DFD6A3E2">
      <w:start w:val="1"/>
      <w:numFmt w:val="bullet"/>
      <w:lvlText w:val=""/>
      <w:lvlJc w:val="left"/>
      <w:pPr>
        <w:ind w:left="720" w:hanging="360"/>
      </w:pPr>
      <w:rPr>
        <w:rFonts w:ascii="Symbol" w:hAnsi="Symbol" w:hint="default"/>
        <w:color w:val="365F91" w:themeColor="accent1"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61448"/>
    <w:multiLevelType w:val="hybridMultilevel"/>
    <w:tmpl w:val="D0328E66"/>
    <w:lvl w:ilvl="0" w:tplc="96FA7C38">
      <w:start w:val="1"/>
      <w:numFmt w:val="decimal"/>
      <w:lvlText w:val="%1."/>
      <w:lvlJc w:val="left"/>
      <w:pPr>
        <w:ind w:left="720" w:hanging="360"/>
      </w:pPr>
      <w:rPr>
        <w:rFonts w:asciiTheme="minorHAnsi" w:hAnsiTheme="minorHAnsi"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407ED2"/>
    <w:multiLevelType w:val="multilevel"/>
    <w:tmpl w:val="17488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AFD3554"/>
    <w:multiLevelType w:val="multilevel"/>
    <w:tmpl w:val="633C58E6"/>
    <w:lvl w:ilvl="0">
      <w:start w:val="1"/>
      <w:numFmt w:val="bullet"/>
      <w:lvlText w:val=""/>
      <w:lvlJc w:val="left"/>
      <w:pPr>
        <w:tabs>
          <w:tab w:val="num" w:pos="720"/>
        </w:tabs>
        <w:ind w:left="720" w:hanging="360"/>
      </w:pPr>
      <w:rPr>
        <w:rFonts w:ascii="Symbol" w:hAnsi="Symbol" w:hint="default"/>
        <w:b/>
        <w:bCs/>
        <w:color w:val="00558C"/>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B07027"/>
    <w:multiLevelType w:val="hybridMultilevel"/>
    <w:tmpl w:val="84509AA6"/>
    <w:lvl w:ilvl="0" w:tplc="62E8EDB0">
      <w:start w:val="1"/>
      <w:numFmt w:val="bullet"/>
      <w:lvlText w:val=""/>
      <w:lvlJc w:val="left"/>
      <w:pPr>
        <w:ind w:left="720" w:hanging="360"/>
      </w:pPr>
      <w:rPr>
        <w:rFonts w:ascii="Symbol" w:hAnsi="Symbol" w:hint="default"/>
        <w:color w:val="365F91" w:themeColor="accent1" w:themeShade="BF"/>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57667">
    <w:abstractNumId w:val="26"/>
  </w:num>
  <w:num w:numId="2" w16cid:durableId="273825793">
    <w:abstractNumId w:val="20"/>
  </w:num>
  <w:num w:numId="3" w16cid:durableId="542251113">
    <w:abstractNumId w:val="5"/>
  </w:num>
  <w:num w:numId="4" w16cid:durableId="441730938">
    <w:abstractNumId w:val="31"/>
  </w:num>
  <w:num w:numId="5" w16cid:durableId="953445795">
    <w:abstractNumId w:val="14"/>
  </w:num>
  <w:num w:numId="6" w16cid:durableId="711656638">
    <w:abstractNumId w:val="10"/>
  </w:num>
  <w:num w:numId="7" w16cid:durableId="961574725">
    <w:abstractNumId w:val="22"/>
  </w:num>
  <w:num w:numId="8" w16cid:durableId="1279677472">
    <w:abstractNumId w:val="21"/>
  </w:num>
  <w:num w:numId="9" w16cid:durableId="719592543">
    <w:abstractNumId w:val="27"/>
  </w:num>
  <w:num w:numId="10" w16cid:durableId="277414519">
    <w:abstractNumId w:val="8"/>
  </w:num>
  <w:num w:numId="11" w16cid:durableId="1446535492">
    <w:abstractNumId w:val="23"/>
  </w:num>
  <w:num w:numId="12" w16cid:durableId="868035018">
    <w:abstractNumId w:val="17"/>
  </w:num>
  <w:num w:numId="13" w16cid:durableId="2026443237">
    <w:abstractNumId w:val="15"/>
  </w:num>
  <w:num w:numId="14" w16cid:durableId="274875165">
    <w:abstractNumId w:val="7"/>
  </w:num>
  <w:num w:numId="15" w16cid:durableId="921598306">
    <w:abstractNumId w:val="18"/>
  </w:num>
  <w:num w:numId="16" w16cid:durableId="36123212">
    <w:abstractNumId w:val="0"/>
  </w:num>
  <w:num w:numId="17" w16cid:durableId="1974407328">
    <w:abstractNumId w:val="12"/>
  </w:num>
  <w:num w:numId="18" w16cid:durableId="487750117">
    <w:abstractNumId w:val="16"/>
  </w:num>
  <w:num w:numId="19" w16cid:durableId="1698583009">
    <w:abstractNumId w:val="6"/>
  </w:num>
  <w:num w:numId="20" w16cid:durableId="677584755">
    <w:abstractNumId w:val="32"/>
  </w:num>
  <w:num w:numId="21" w16cid:durableId="253977999">
    <w:abstractNumId w:val="1"/>
  </w:num>
  <w:num w:numId="22" w16cid:durableId="1486431875">
    <w:abstractNumId w:val="30"/>
  </w:num>
  <w:num w:numId="23" w16cid:durableId="584612522">
    <w:abstractNumId w:val="19"/>
  </w:num>
  <w:num w:numId="24" w16cid:durableId="1844474373">
    <w:abstractNumId w:val="4"/>
  </w:num>
  <w:num w:numId="25" w16cid:durableId="183324322">
    <w:abstractNumId w:val="13"/>
  </w:num>
  <w:num w:numId="26" w16cid:durableId="145170286">
    <w:abstractNumId w:val="3"/>
  </w:num>
  <w:num w:numId="27" w16cid:durableId="307593046">
    <w:abstractNumId w:val="28"/>
  </w:num>
  <w:num w:numId="28" w16cid:durableId="1873809772">
    <w:abstractNumId w:val="9"/>
  </w:num>
  <w:num w:numId="29" w16cid:durableId="226261129">
    <w:abstractNumId w:val="25"/>
  </w:num>
  <w:num w:numId="30" w16cid:durableId="257181539">
    <w:abstractNumId w:val="33"/>
  </w:num>
  <w:num w:numId="31" w16cid:durableId="1983579276">
    <w:abstractNumId w:val="11"/>
  </w:num>
  <w:num w:numId="32" w16cid:durableId="1012414499">
    <w:abstractNumId w:val="7"/>
  </w:num>
  <w:num w:numId="33" w16cid:durableId="1807777562">
    <w:abstractNumId w:val="29"/>
  </w:num>
  <w:num w:numId="34" w16cid:durableId="843057184">
    <w:abstractNumId w:val="7"/>
  </w:num>
  <w:num w:numId="35" w16cid:durableId="115683704">
    <w:abstractNumId w:val="7"/>
  </w:num>
  <w:num w:numId="36" w16cid:durableId="1667591789">
    <w:abstractNumId w:val="2"/>
  </w:num>
  <w:num w:numId="37" w16cid:durableId="115764703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isplayBackgroundShape/>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W2MDQxtzQ0tDAzMjJV0lEKTi0uzszPAykwrQUABjn4kywAAAA="/>
  </w:docVars>
  <w:rsids>
    <w:rsidRoot w:val="00FE5674"/>
    <w:rsid w:val="000005D3"/>
    <w:rsid w:val="00000FCD"/>
    <w:rsid w:val="00004126"/>
    <w:rsid w:val="000049D8"/>
    <w:rsid w:val="000079B4"/>
    <w:rsid w:val="00012923"/>
    <w:rsid w:val="0001589F"/>
    <w:rsid w:val="000205EE"/>
    <w:rsid w:val="00021EBA"/>
    <w:rsid w:val="00026AAB"/>
    <w:rsid w:val="0003196C"/>
    <w:rsid w:val="00033AEF"/>
    <w:rsid w:val="0003452A"/>
    <w:rsid w:val="00036A03"/>
    <w:rsid w:val="00036B9E"/>
    <w:rsid w:val="00037DF4"/>
    <w:rsid w:val="00042FFA"/>
    <w:rsid w:val="00044DE4"/>
    <w:rsid w:val="00045E98"/>
    <w:rsid w:val="0004700E"/>
    <w:rsid w:val="00054725"/>
    <w:rsid w:val="0005534F"/>
    <w:rsid w:val="00057C48"/>
    <w:rsid w:val="000656CD"/>
    <w:rsid w:val="00065E0E"/>
    <w:rsid w:val="00065E21"/>
    <w:rsid w:val="00066B85"/>
    <w:rsid w:val="00070C13"/>
    <w:rsid w:val="000715C9"/>
    <w:rsid w:val="000757FD"/>
    <w:rsid w:val="00081EBE"/>
    <w:rsid w:val="00081FC9"/>
    <w:rsid w:val="00082035"/>
    <w:rsid w:val="00084F33"/>
    <w:rsid w:val="0008507C"/>
    <w:rsid w:val="000864B3"/>
    <w:rsid w:val="000A77A7"/>
    <w:rsid w:val="000B1707"/>
    <w:rsid w:val="000B1E23"/>
    <w:rsid w:val="000B4733"/>
    <w:rsid w:val="000B55DF"/>
    <w:rsid w:val="000B5DA4"/>
    <w:rsid w:val="000C008A"/>
    <w:rsid w:val="000C0F74"/>
    <w:rsid w:val="000C0FEE"/>
    <w:rsid w:val="000C1B3E"/>
    <w:rsid w:val="000C349E"/>
    <w:rsid w:val="000C5848"/>
    <w:rsid w:val="000D0AC9"/>
    <w:rsid w:val="000D1D25"/>
    <w:rsid w:val="000D20D8"/>
    <w:rsid w:val="000D31B5"/>
    <w:rsid w:val="000E1E8C"/>
    <w:rsid w:val="000E4B88"/>
    <w:rsid w:val="000F0C27"/>
    <w:rsid w:val="001004F4"/>
    <w:rsid w:val="00103FFF"/>
    <w:rsid w:val="0010494D"/>
    <w:rsid w:val="00106168"/>
    <w:rsid w:val="00110AE7"/>
    <w:rsid w:val="00114F7D"/>
    <w:rsid w:val="0012231B"/>
    <w:rsid w:val="00122B69"/>
    <w:rsid w:val="00127DB4"/>
    <w:rsid w:val="0013209A"/>
    <w:rsid w:val="00135A91"/>
    <w:rsid w:val="00135B0A"/>
    <w:rsid w:val="00136FB1"/>
    <w:rsid w:val="00142D8D"/>
    <w:rsid w:val="001626BB"/>
    <w:rsid w:val="00165F02"/>
    <w:rsid w:val="00176DE4"/>
    <w:rsid w:val="00177F4D"/>
    <w:rsid w:val="00180DDA"/>
    <w:rsid w:val="001817F0"/>
    <w:rsid w:val="00181CC4"/>
    <w:rsid w:val="00181E13"/>
    <w:rsid w:val="00184F61"/>
    <w:rsid w:val="00192589"/>
    <w:rsid w:val="00194343"/>
    <w:rsid w:val="0019511F"/>
    <w:rsid w:val="001A05BE"/>
    <w:rsid w:val="001A1520"/>
    <w:rsid w:val="001A4591"/>
    <w:rsid w:val="001B2A2D"/>
    <w:rsid w:val="001B737D"/>
    <w:rsid w:val="001C43D3"/>
    <w:rsid w:val="001C44A3"/>
    <w:rsid w:val="001C4813"/>
    <w:rsid w:val="001C533A"/>
    <w:rsid w:val="001C797E"/>
    <w:rsid w:val="001D34D0"/>
    <w:rsid w:val="001E0E15"/>
    <w:rsid w:val="001F297E"/>
    <w:rsid w:val="001F528A"/>
    <w:rsid w:val="001F62B0"/>
    <w:rsid w:val="001F704E"/>
    <w:rsid w:val="001F733C"/>
    <w:rsid w:val="002005EA"/>
    <w:rsid w:val="00201722"/>
    <w:rsid w:val="00202F66"/>
    <w:rsid w:val="0020548F"/>
    <w:rsid w:val="002059EF"/>
    <w:rsid w:val="002125B0"/>
    <w:rsid w:val="002153B5"/>
    <w:rsid w:val="002270D9"/>
    <w:rsid w:val="002276C9"/>
    <w:rsid w:val="002300CD"/>
    <w:rsid w:val="00230DAC"/>
    <w:rsid w:val="002335C7"/>
    <w:rsid w:val="00233F46"/>
    <w:rsid w:val="00242728"/>
    <w:rsid w:val="00243228"/>
    <w:rsid w:val="00245AA9"/>
    <w:rsid w:val="00251425"/>
    <w:rsid w:val="00251483"/>
    <w:rsid w:val="002514AF"/>
    <w:rsid w:val="00255CAA"/>
    <w:rsid w:val="00263E54"/>
    <w:rsid w:val="00264305"/>
    <w:rsid w:val="0027236F"/>
    <w:rsid w:val="002734B4"/>
    <w:rsid w:val="00274721"/>
    <w:rsid w:val="00276488"/>
    <w:rsid w:val="00283A18"/>
    <w:rsid w:val="00283D52"/>
    <w:rsid w:val="002853AE"/>
    <w:rsid w:val="0028701D"/>
    <w:rsid w:val="002A0346"/>
    <w:rsid w:val="002A1722"/>
    <w:rsid w:val="002A32F2"/>
    <w:rsid w:val="002A4487"/>
    <w:rsid w:val="002A5FD0"/>
    <w:rsid w:val="002A6F66"/>
    <w:rsid w:val="002B1850"/>
    <w:rsid w:val="002B441C"/>
    <w:rsid w:val="002B461A"/>
    <w:rsid w:val="002B49E9"/>
    <w:rsid w:val="002B59D8"/>
    <w:rsid w:val="002C632E"/>
    <w:rsid w:val="002C65B1"/>
    <w:rsid w:val="002D3E8B"/>
    <w:rsid w:val="002D4575"/>
    <w:rsid w:val="002D5C0C"/>
    <w:rsid w:val="002E03D1"/>
    <w:rsid w:val="002E2FB1"/>
    <w:rsid w:val="002E6B74"/>
    <w:rsid w:val="002E6FCA"/>
    <w:rsid w:val="002E78C2"/>
    <w:rsid w:val="002F2050"/>
    <w:rsid w:val="002F4AA9"/>
    <w:rsid w:val="002F7D70"/>
    <w:rsid w:val="003002E9"/>
    <w:rsid w:val="00303CCB"/>
    <w:rsid w:val="00314FF1"/>
    <w:rsid w:val="003203AB"/>
    <w:rsid w:val="00325B9F"/>
    <w:rsid w:val="003351E0"/>
    <w:rsid w:val="00342F93"/>
    <w:rsid w:val="00343FB1"/>
    <w:rsid w:val="00354ED3"/>
    <w:rsid w:val="00356CD0"/>
    <w:rsid w:val="00362CD9"/>
    <w:rsid w:val="003761CA"/>
    <w:rsid w:val="003767E3"/>
    <w:rsid w:val="003800DA"/>
    <w:rsid w:val="003808F9"/>
    <w:rsid w:val="00380DAF"/>
    <w:rsid w:val="00392FC6"/>
    <w:rsid w:val="00394293"/>
    <w:rsid w:val="00395848"/>
    <w:rsid w:val="00396F4B"/>
    <w:rsid w:val="003972CE"/>
    <w:rsid w:val="003A2C88"/>
    <w:rsid w:val="003B1D2A"/>
    <w:rsid w:val="003B28F5"/>
    <w:rsid w:val="003B390E"/>
    <w:rsid w:val="003B481D"/>
    <w:rsid w:val="003B7B7D"/>
    <w:rsid w:val="003C1BB1"/>
    <w:rsid w:val="003C1BB5"/>
    <w:rsid w:val="003C54CB"/>
    <w:rsid w:val="003C7A2A"/>
    <w:rsid w:val="003D2DC1"/>
    <w:rsid w:val="003D4D0B"/>
    <w:rsid w:val="003D69D0"/>
    <w:rsid w:val="003D7D51"/>
    <w:rsid w:val="003E4999"/>
    <w:rsid w:val="003F065C"/>
    <w:rsid w:val="003F2918"/>
    <w:rsid w:val="003F430E"/>
    <w:rsid w:val="004058A0"/>
    <w:rsid w:val="004059D6"/>
    <w:rsid w:val="0041088C"/>
    <w:rsid w:val="00412DD0"/>
    <w:rsid w:val="00413E93"/>
    <w:rsid w:val="00420A38"/>
    <w:rsid w:val="00424EDC"/>
    <w:rsid w:val="00425D98"/>
    <w:rsid w:val="00431B19"/>
    <w:rsid w:val="0044134E"/>
    <w:rsid w:val="004541CB"/>
    <w:rsid w:val="00456DDB"/>
    <w:rsid w:val="00463221"/>
    <w:rsid w:val="004658CF"/>
    <w:rsid w:val="004661AD"/>
    <w:rsid w:val="00467ADF"/>
    <w:rsid w:val="004766B3"/>
    <w:rsid w:val="00477F53"/>
    <w:rsid w:val="00484EBF"/>
    <w:rsid w:val="004A2266"/>
    <w:rsid w:val="004A2BF8"/>
    <w:rsid w:val="004A4C4D"/>
    <w:rsid w:val="004A6C1D"/>
    <w:rsid w:val="004C0C05"/>
    <w:rsid w:val="004C2DEB"/>
    <w:rsid w:val="004C6C54"/>
    <w:rsid w:val="004C754D"/>
    <w:rsid w:val="004D0531"/>
    <w:rsid w:val="004D1D85"/>
    <w:rsid w:val="004D361E"/>
    <w:rsid w:val="004D3C3A"/>
    <w:rsid w:val="004E1B19"/>
    <w:rsid w:val="004E1CD1"/>
    <w:rsid w:val="004E21B8"/>
    <w:rsid w:val="004E45D7"/>
    <w:rsid w:val="004E591E"/>
    <w:rsid w:val="004F7EFC"/>
    <w:rsid w:val="00500CE7"/>
    <w:rsid w:val="00501010"/>
    <w:rsid w:val="00501156"/>
    <w:rsid w:val="0050787B"/>
    <w:rsid w:val="005107EB"/>
    <w:rsid w:val="00510B63"/>
    <w:rsid w:val="00511277"/>
    <w:rsid w:val="00516430"/>
    <w:rsid w:val="00520A89"/>
    <w:rsid w:val="00521345"/>
    <w:rsid w:val="005232B8"/>
    <w:rsid w:val="00523A26"/>
    <w:rsid w:val="00526DF0"/>
    <w:rsid w:val="0053165D"/>
    <w:rsid w:val="00535139"/>
    <w:rsid w:val="0054063B"/>
    <w:rsid w:val="00545CC4"/>
    <w:rsid w:val="00550F81"/>
    <w:rsid w:val="00551FFF"/>
    <w:rsid w:val="00555783"/>
    <w:rsid w:val="005607A2"/>
    <w:rsid w:val="00560965"/>
    <w:rsid w:val="00564C7D"/>
    <w:rsid w:val="00565B05"/>
    <w:rsid w:val="0057198B"/>
    <w:rsid w:val="00573CFE"/>
    <w:rsid w:val="0057460F"/>
    <w:rsid w:val="00574D80"/>
    <w:rsid w:val="005802F4"/>
    <w:rsid w:val="00590B1A"/>
    <w:rsid w:val="00595119"/>
    <w:rsid w:val="00596289"/>
    <w:rsid w:val="005969F2"/>
    <w:rsid w:val="00597FAE"/>
    <w:rsid w:val="005A3996"/>
    <w:rsid w:val="005B1E24"/>
    <w:rsid w:val="005B32A3"/>
    <w:rsid w:val="005B36A5"/>
    <w:rsid w:val="005C077A"/>
    <w:rsid w:val="005C0D44"/>
    <w:rsid w:val="005C14D5"/>
    <w:rsid w:val="005C32CF"/>
    <w:rsid w:val="005C3CA6"/>
    <w:rsid w:val="005C4E41"/>
    <w:rsid w:val="005C566C"/>
    <w:rsid w:val="005C7E69"/>
    <w:rsid w:val="005D36FB"/>
    <w:rsid w:val="005E14F5"/>
    <w:rsid w:val="005E262D"/>
    <w:rsid w:val="005E6CE2"/>
    <w:rsid w:val="005F23D3"/>
    <w:rsid w:val="005F61EE"/>
    <w:rsid w:val="005F7E20"/>
    <w:rsid w:val="006004A3"/>
    <w:rsid w:val="00605E43"/>
    <w:rsid w:val="006113E8"/>
    <w:rsid w:val="0061171D"/>
    <w:rsid w:val="006133EC"/>
    <w:rsid w:val="006153BB"/>
    <w:rsid w:val="00615E2C"/>
    <w:rsid w:val="00624B30"/>
    <w:rsid w:val="00631A62"/>
    <w:rsid w:val="00632874"/>
    <w:rsid w:val="00633547"/>
    <w:rsid w:val="00634A7A"/>
    <w:rsid w:val="006417A5"/>
    <w:rsid w:val="00643D2F"/>
    <w:rsid w:val="0065496C"/>
    <w:rsid w:val="0065684C"/>
    <w:rsid w:val="00662239"/>
    <w:rsid w:val="00664189"/>
    <w:rsid w:val="006652C3"/>
    <w:rsid w:val="00665D80"/>
    <w:rsid w:val="006679FA"/>
    <w:rsid w:val="00667C97"/>
    <w:rsid w:val="006772BB"/>
    <w:rsid w:val="00681A10"/>
    <w:rsid w:val="006906A8"/>
    <w:rsid w:val="00691FD0"/>
    <w:rsid w:val="00692148"/>
    <w:rsid w:val="00693DD7"/>
    <w:rsid w:val="00694E48"/>
    <w:rsid w:val="006A1A1E"/>
    <w:rsid w:val="006B00A0"/>
    <w:rsid w:val="006B42D2"/>
    <w:rsid w:val="006B5337"/>
    <w:rsid w:val="006C5948"/>
    <w:rsid w:val="006C72E4"/>
    <w:rsid w:val="006C794B"/>
    <w:rsid w:val="006D3734"/>
    <w:rsid w:val="006D5FB2"/>
    <w:rsid w:val="006D754B"/>
    <w:rsid w:val="006E052C"/>
    <w:rsid w:val="006E2E17"/>
    <w:rsid w:val="006E3052"/>
    <w:rsid w:val="006E30FD"/>
    <w:rsid w:val="006F29D1"/>
    <w:rsid w:val="006F2A74"/>
    <w:rsid w:val="006F7FBB"/>
    <w:rsid w:val="007000D4"/>
    <w:rsid w:val="00704A22"/>
    <w:rsid w:val="007118F5"/>
    <w:rsid w:val="00712AA4"/>
    <w:rsid w:val="007146C4"/>
    <w:rsid w:val="007155EB"/>
    <w:rsid w:val="0071613E"/>
    <w:rsid w:val="007206B0"/>
    <w:rsid w:val="00721AA1"/>
    <w:rsid w:val="00724B67"/>
    <w:rsid w:val="00726291"/>
    <w:rsid w:val="00735FC2"/>
    <w:rsid w:val="0074172B"/>
    <w:rsid w:val="00745D67"/>
    <w:rsid w:val="007523D0"/>
    <w:rsid w:val="007547F8"/>
    <w:rsid w:val="00755314"/>
    <w:rsid w:val="00755F17"/>
    <w:rsid w:val="0075767A"/>
    <w:rsid w:val="00765622"/>
    <w:rsid w:val="00767A7D"/>
    <w:rsid w:val="00770B6C"/>
    <w:rsid w:val="00772A62"/>
    <w:rsid w:val="00783FEA"/>
    <w:rsid w:val="00786FA4"/>
    <w:rsid w:val="0079067F"/>
    <w:rsid w:val="007A395D"/>
    <w:rsid w:val="007A4B82"/>
    <w:rsid w:val="007B4213"/>
    <w:rsid w:val="007B421E"/>
    <w:rsid w:val="007B6BD5"/>
    <w:rsid w:val="007C183B"/>
    <w:rsid w:val="007C346C"/>
    <w:rsid w:val="007D01F9"/>
    <w:rsid w:val="007D2EEA"/>
    <w:rsid w:val="007D51BA"/>
    <w:rsid w:val="007E4566"/>
    <w:rsid w:val="007E6479"/>
    <w:rsid w:val="0080294B"/>
    <w:rsid w:val="00804EAE"/>
    <w:rsid w:val="008056B3"/>
    <w:rsid w:val="00810953"/>
    <w:rsid w:val="00821D33"/>
    <w:rsid w:val="0082480E"/>
    <w:rsid w:val="00830BD5"/>
    <w:rsid w:val="00846EF7"/>
    <w:rsid w:val="00850293"/>
    <w:rsid w:val="00851373"/>
    <w:rsid w:val="00851BA6"/>
    <w:rsid w:val="0085654D"/>
    <w:rsid w:val="00857ADB"/>
    <w:rsid w:val="00861160"/>
    <w:rsid w:val="0086654F"/>
    <w:rsid w:val="008701A3"/>
    <w:rsid w:val="0087057E"/>
    <w:rsid w:val="00872951"/>
    <w:rsid w:val="0087413E"/>
    <w:rsid w:val="0087758C"/>
    <w:rsid w:val="00887025"/>
    <w:rsid w:val="008872DA"/>
    <w:rsid w:val="008934DD"/>
    <w:rsid w:val="008A03FE"/>
    <w:rsid w:val="008A356F"/>
    <w:rsid w:val="008A4653"/>
    <w:rsid w:val="008A4717"/>
    <w:rsid w:val="008A50CC"/>
    <w:rsid w:val="008A6EEA"/>
    <w:rsid w:val="008B1E74"/>
    <w:rsid w:val="008B3040"/>
    <w:rsid w:val="008B7A56"/>
    <w:rsid w:val="008C0D30"/>
    <w:rsid w:val="008C215F"/>
    <w:rsid w:val="008C574F"/>
    <w:rsid w:val="008C673F"/>
    <w:rsid w:val="008D0F13"/>
    <w:rsid w:val="008D1694"/>
    <w:rsid w:val="008D6C1F"/>
    <w:rsid w:val="008D79CB"/>
    <w:rsid w:val="008E1380"/>
    <w:rsid w:val="008E2650"/>
    <w:rsid w:val="008E3448"/>
    <w:rsid w:val="008F07BC"/>
    <w:rsid w:val="008F67E9"/>
    <w:rsid w:val="008F74DE"/>
    <w:rsid w:val="00903ABD"/>
    <w:rsid w:val="009052A7"/>
    <w:rsid w:val="00905BF1"/>
    <w:rsid w:val="0091238A"/>
    <w:rsid w:val="00914CCD"/>
    <w:rsid w:val="00916820"/>
    <w:rsid w:val="0091760D"/>
    <w:rsid w:val="00921713"/>
    <w:rsid w:val="00921A9F"/>
    <w:rsid w:val="009247F2"/>
    <w:rsid w:val="00926318"/>
    <w:rsid w:val="0092692B"/>
    <w:rsid w:val="00926974"/>
    <w:rsid w:val="00930561"/>
    <w:rsid w:val="0093150A"/>
    <w:rsid w:val="00931BF8"/>
    <w:rsid w:val="00932B20"/>
    <w:rsid w:val="0093374D"/>
    <w:rsid w:val="009337D0"/>
    <w:rsid w:val="00943E9C"/>
    <w:rsid w:val="009529EE"/>
    <w:rsid w:val="00953F4D"/>
    <w:rsid w:val="009607A3"/>
    <w:rsid w:val="00960BB8"/>
    <w:rsid w:val="00962013"/>
    <w:rsid w:val="00963E80"/>
    <w:rsid w:val="00964F5C"/>
    <w:rsid w:val="00971603"/>
    <w:rsid w:val="009724EA"/>
    <w:rsid w:val="00973B57"/>
    <w:rsid w:val="00975900"/>
    <w:rsid w:val="00975D11"/>
    <w:rsid w:val="00976359"/>
    <w:rsid w:val="009831C0"/>
    <w:rsid w:val="00985CF0"/>
    <w:rsid w:val="0099161D"/>
    <w:rsid w:val="00992407"/>
    <w:rsid w:val="0099400D"/>
    <w:rsid w:val="00996540"/>
    <w:rsid w:val="009967A5"/>
    <w:rsid w:val="009974D4"/>
    <w:rsid w:val="009A031F"/>
    <w:rsid w:val="009B57CD"/>
    <w:rsid w:val="009B74C5"/>
    <w:rsid w:val="009B7BC4"/>
    <w:rsid w:val="009C19E3"/>
    <w:rsid w:val="009D00EB"/>
    <w:rsid w:val="009D057D"/>
    <w:rsid w:val="009D2F71"/>
    <w:rsid w:val="009D3E6C"/>
    <w:rsid w:val="009D75BF"/>
    <w:rsid w:val="009E0F8F"/>
    <w:rsid w:val="009E69F7"/>
    <w:rsid w:val="009F3D4A"/>
    <w:rsid w:val="009F4C64"/>
    <w:rsid w:val="00A0389B"/>
    <w:rsid w:val="00A03A0A"/>
    <w:rsid w:val="00A05CC9"/>
    <w:rsid w:val="00A06552"/>
    <w:rsid w:val="00A07AF4"/>
    <w:rsid w:val="00A10BD4"/>
    <w:rsid w:val="00A1615C"/>
    <w:rsid w:val="00A16313"/>
    <w:rsid w:val="00A1667C"/>
    <w:rsid w:val="00A26D9E"/>
    <w:rsid w:val="00A32C39"/>
    <w:rsid w:val="00A33A3C"/>
    <w:rsid w:val="00A371AA"/>
    <w:rsid w:val="00A37B64"/>
    <w:rsid w:val="00A40BAA"/>
    <w:rsid w:val="00A4190E"/>
    <w:rsid w:val="00A4329B"/>
    <w:rsid w:val="00A446C9"/>
    <w:rsid w:val="00A45295"/>
    <w:rsid w:val="00A46F1A"/>
    <w:rsid w:val="00A546B7"/>
    <w:rsid w:val="00A60DA8"/>
    <w:rsid w:val="00A635D6"/>
    <w:rsid w:val="00A65E73"/>
    <w:rsid w:val="00A671E3"/>
    <w:rsid w:val="00A67553"/>
    <w:rsid w:val="00A8553A"/>
    <w:rsid w:val="00A86F46"/>
    <w:rsid w:val="00A93AED"/>
    <w:rsid w:val="00A975D7"/>
    <w:rsid w:val="00AA6709"/>
    <w:rsid w:val="00AA714B"/>
    <w:rsid w:val="00AB28DF"/>
    <w:rsid w:val="00AC3329"/>
    <w:rsid w:val="00AD0460"/>
    <w:rsid w:val="00AD352D"/>
    <w:rsid w:val="00AD6FB9"/>
    <w:rsid w:val="00AE1319"/>
    <w:rsid w:val="00AE1C47"/>
    <w:rsid w:val="00AE22DA"/>
    <w:rsid w:val="00AE34BB"/>
    <w:rsid w:val="00AF054A"/>
    <w:rsid w:val="00AF3358"/>
    <w:rsid w:val="00B02E5F"/>
    <w:rsid w:val="00B066DE"/>
    <w:rsid w:val="00B075F7"/>
    <w:rsid w:val="00B15B65"/>
    <w:rsid w:val="00B1763C"/>
    <w:rsid w:val="00B2127B"/>
    <w:rsid w:val="00B222EA"/>
    <w:rsid w:val="00B226F2"/>
    <w:rsid w:val="00B274DF"/>
    <w:rsid w:val="00B32C10"/>
    <w:rsid w:val="00B43AEF"/>
    <w:rsid w:val="00B51214"/>
    <w:rsid w:val="00B51CF0"/>
    <w:rsid w:val="00B52706"/>
    <w:rsid w:val="00B56BDF"/>
    <w:rsid w:val="00B607E3"/>
    <w:rsid w:val="00B65812"/>
    <w:rsid w:val="00B70096"/>
    <w:rsid w:val="00B70900"/>
    <w:rsid w:val="00B766DC"/>
    <w:rsid w:val="00B8119E"/>
    <w:rsid w:val="00B85CD6"/>
    <w:rsid w:val="00B90A27"/>
    <w:rsid w:val="00B91927"/>
    <w:rsid w:val="00B93ADD"/>
    <w:rsid w:val="00B9554D"/>
    <w:rsid w:val="00BA0BBF"/>
    <w:rsid w:val="00BB2B9F"/>
    <w:rsid w:val="00BB3375"/>
    <w:rsid w:val="00BB511A"/>
    <w:rsid w:val="00BB7D9E"/>
    <w:rsid w:val="00BC1DCB"/>
    <w:rsid w:val="00BC2334"/>
    <w:rsid w:val="00BD3CB8"/>
    <w:rsid w:val="00BD4E6F"/>
    <w:rsid w:val="00BE195A"/>
    <w:rsid w:val="00BF23E6"/>
    <w:rsid w:val="00BF32F0"/>
    <w:rsid w:val="00BF4DCE"/>
    <w:rsid w:val="00BF4FFA"/>
    <w:rsid w:val="00BF580E"/>
    <w:rsid w:val="00C0157A"/>
    <w:rsid w:val="00C0222F"/>
    <w:rsid w:val="00C02B58"/>
    <w:rsid w:val="00C05CE5"/>
    <w:rsid w:val="00C05D00"/>
    <w:rsid w:val="00C06399"/>
    <w:rsid w:val="00C102E1"/>
    <w:rsid w:val="00C13FDD"/>
    <w:rsid w:val="00C20B5A"/>
    <w:rsid w:val="00C235B3"/>
    <w:rsid w:val="00C244A2"/>
    <w:rsid w:val="00C33768"/>
    <w:rsid w:val="00C37983"/>
    <w:rsid w:val="00C501C2"/>
    <w:rsid w:val="00C501C7"/>
    <w:rsid w:val="00C51B3E"/>
    <w:rsid w:val="00C6171E"/>
    <w:rsid w:val="00C6238B"/>
    <w:rsid w:val="00C63E20"/>
    <w:rsid w:val="00C64A71"/>
    <w:rsid w:val="00C65D12"/>
    <w:rsid w:val="00C67F5C"/>
    <w:rsid w:val="00C709B6"/>
    <w:rsid w:val="00C71042"/>
    <w:rsid w:val="00C75307"/>
    <w:rsid w:val="00C86530"/>
    <w:rsid w:val="00C9159C"/>
    <w:rsid w:val="00C92762"/>
    <w:rsid w:val="00C977E8"/>
    <w:rsid w:val="00CA1318"/>
    <w:rsid w:val="00CA6F2C"/>
    <w:rsid w:val="00CC0CC8"/>
    <w:rsid w:val="00CC28BF"/>
    <w:rsid w:val="00CC39F0"/>
    <w:rsid w:val="00CC3E50"/>
    <w:rsid w:val="00CC76CB"/>
    <w:rsid w:val="00CD0002"/>
    <w:rsid w:val="00CD19D9"/>
    <w:rsid w:val="00CD3716"/>
    <w:rsid w:val="00CD6A13"/>
    <w:rsid w:val="00CF1871"/>
    <w:rsid w:val="00CF30C4"/>
    <w:rsid w:val="00CF3950"/>
    <w:rsid w:val="00CF4008"/>
    <w:rsid w:val="00CF40FB"/>
    <w:rsid w:val="00CF517D"/>
    <w:rsid w:val="00D0056A"/>
    <w:rsid w:val="00D01874"/>
    <w:rsid w:val="00D019CE"/>
    <w:rsid w:val="00D02FDC"/>
    <w:rsid w:val="00D1133E"/>
    <w:rsid w:val="00D11E44"/>
    <w:rsid w:val="00D13FBE"/>
    <w:rsid w:val="00D17A34"/>
    <w:rsid w:val="00D22F1D"/>
    <w:rsid w:val="00D25961"/>
    <w:rsid w:val="00D26628"/>
    <w:rsid w:val="00D332B3"/>
    <w:rsid w:val="00D34EE9"/>
    <w:rsid w:val="00D42FA8"/>
    <w:rsid w:val="00D44C2F"/>
    <w:rsid w:val="00D46D59"/>
    <w:rsid w:val="00D50954"/>
    <w:rsid w:val="00D55207"/>
    <w:rsid w:val="00D55C65"/>
    <w:rsid w:val="00D56102"/>
    <w:rsid w:val="00D6188F"/>
    <w:rsid w:val="00D62A29"/>
    <w:rsid w:val="00D64CDB"/>
    <w:rsid w:val="00D66AEF"/>
    <w:rsid w:val="00D72454"/>
    <w:rsid w:val="00D727C1"/>
    <w:rsid w:val="00D72981"/>
    <w:rsid w:val="00D75C74"/>
    <w:rsid w:val="00D76CB6"/>
    <w:rsid w:val="00D7762D"/>
    <w:rsid w:val="00D8141D"/>
    <w:rsid w:val="00D81801"/>
    <w:rsid w:val="00D836FC"/>
    <w:rsid w:val="00D85491"/>
    <w:rsid w:val="00D92B45"/>
    <w:rsid w:val="00D95962"/>
    <w:rsid w:val="00DA054B"/>
    <w:rsid w:val="00DA7EAB"/>
    <w:rsid w:val="00DB1479"/>
    <w:rsid w:val="00DB1ADA"/>
    <w:rsid w:val="00DB4453"/>
    <w:rsid w:val="00DB66C9"/>
    <w:rsid w:val="00DC389B"/>
    <w:rsid w:val="00DC5398"/>
    <w:rsid w:val="00DC6FC8"/>
    <w:rsid w:val="00DD42C2"/>
    <w:rsid w:val="00DD4D02"/>
    <w:rsid w:val="00DD5682"/>
    <w:rsid w:val="00DD7EC0"/>
    <w:rsid w:val="00DE0122"/>
    <w:rsid w:val="00DE0542"/>
    <w:rsid w:val="00DE2835"/>
    <w:rsid w:val="00DE2F71"/>
    <w:rsid w:val="00DE2FEE"/>
    <w:rsid w:val="00DE3154"/>
    <w:rsid w:val="00DE39DD"/>
    <w:rsid w:val="00DF1467"/>
    <w:rsid w:val="00DF2BD3"/>
    <w:rsid w:val="00DF77B0"/>
    <w:rsid w:val="00DF7BB9"/>
    <w:rsid w:val="00E00BE9"/>
    <w:rsid w:val="00E05D61"/>
    <w:rsid w:val="00E101A6"/>
    <w:rsid w:val="00E174B4"/>
    <w:rsid w:val="00E2203E"/>
    <w:rsid w:val="00E22A11"/>
    <w:rsid w:val="00E244BB"/>
    <w:rsid w:val="00E306E9"/>
    <w:rsid w:val="00E30C3F"/>
    <w:rsid w:val="00E30DD5"/>
    <w:rsid w:val="00E31E5C"/>
    <w:rsid w:val="00E323EC"/>
    <w:rsid w:val="00E3375D"/>
    <w:rsid w:val="00E338EA"/>
    <w:rsid w:val="00E351BA"/>
    <w:rsid w:val="00E3762B"/>
    <w:rsid w:val="00E41FF6"/>
    <w:rsid w:val="00E44DD2"/>
    <w:rsid w:val="00E452F3"/>
    <w:rsid w:val="00E519BC"/>
    <w:rsid w:val="00E558C3"/>
    <w:rsid w:val="00E55927"/>
    <w:rsid w:val="00E60540"/>
    <w:rsid w:val="00E614D7"/>
    <w:rsid w:val="00E6611D"/>
    <w:rsid w:val="00E703CB"/>
    <w:rsid w:val="00E77122"/>
    <w:rsid w:val="00E912A6"/>
    <w:rsid w:val="00E94D9A"/>
    <w:rsid w:val="00E97E5D"/>
    <w:rsid w:val="00EA11EE"/>
    <w:rsid w:val="00EA4844"/>
    <w:rsid w:val="00EA4D9C"/>
    <w:rsid w:val="00EA51EA"/>
    <w:rsid w:val="00EA5218"/>
    <w:rsid w:val="00EA5755"/>
    <w:rsid w:val="00EA5A97"/>
    <w:rsid w:val="00EB2248"/>
    <w:rsid w:val="00EB75EE"/>
    <w:rsid w:val="00EC441B"/>
    <w:rsid w:val="00EC44CB"/>
    <w:rsid w:val="00EE3CC5"/>
    <w:rsid w:val="00EE4C1D"/>
    <w:rsid w:val="00EF3685"/>
    <w:rsid w:val="00EF3FF8"/>
    <w:rsid w:val="00EF40B6"/>
    <w:rsid w:val="00EF5E53"/>
    <w:rsid w:val="00EF72D2"/>
    <w:rsid w:val="00EF78D7"/>
    <w:rsid w:val="00F0010F"/>
    <w:rsid w:val="00F0044D"/>
    <w:rsid w:val="00F03808"/>
    <w:rsid w:val="00F04350"/>
    <w:rsid w:val="00F133DB"/>
    <w:rsid w:val="00F13926"/>
    <w:rsid w:val="00F14F24"/>
    <w:rsid w:val="00F155E1"/>
    <w:rsid w:val="00F159EB"/>
    <w:rsid w:val="00F24E96"/>
    <w:rsid w:val="00F25BF4"/>
    <w:rsid w:val="00F267DB"/>
    <w:rsid w:val="00F319B8"/>
    <w:rsid w:val="00F4111C"/>
    <w:rsid w:val="00F44D86"/>
    <w:rsid w:val="00F46E33"/>
    <w:rsid w:val="00F46F6F"/>
    <w:rsid w:val="00F503E8"/>
    <w:rsid w:val="00F5175F"/>
    <w:rsid w:val="00F528C9"/>
    <w:rsid w:val="00F5526C"/>
    <w:rsid w:val="00F56258"/>
    <w:rsid w:val="00F60409"/>
    <w:rsid w:val="00F60608"/>
    <w:rsid w:val="00F62217"/>
    <w:rsid w:val="00F72042"/>
    <w:rsid w:val="00F76535"/>
    <w:rsid w:val="00F84935"/>
    <w:rsid w:val="00F857B9"/>
    <w:rsid w:val="00F91818"/>
    <w:rsid w:val="00F941CB"/>
    <w:rsid w:val="00FA255C"/>
    <w:rsid w:val="00FA7625"/>
    <w:rsid w:val="00FB17A9"/>
    <w:rsid w:val="00FB397A"/>
    <w:rsid w:val="00FB527C"/>
    <w:rsid w:val="00FB6F75"/>
    <w:rsid w:val="00FC0EB3"/>
    <w:rsid w:val="00FC1027"/>
    <w:rsid w:val="00FC1EE0"/>
    <w:rsid w:val="00FD2561"/>
    <w:rsid w:val="00FD2F88"/>
    <w:rsid w:val="00FD675E"/>
    <w:rsid w:val="00FD6AE5"/>
    <w:rsid w:val="00FD6ECF"/>
    <w:rsid w:val="00FD78FD"/>
    <w:rsid w:val="00FE41D1"/>
    <w:rsid w:val="00FE5674"/>
    <w:rsid w:val="00FF1BB0"/>
    <w:rsid w:val="00FF27B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19511F"/>
    <w:pPr>
      <w:spacing w:after="120"/>
      <w:jc w:val="both"/>
    </w:pPr>
    <w:rPr>
      <w:rFonts w:asciiTheme="minorHAnsi" w:hAnsiTheme="minorHAnsi" w:cstheme="minorHAnsi"/>
      <w:lang w:eastAsia="ko-KR"/>
    </w:rPr>
  </w:style>
  <w:style w:type="character" w:customStyle="1" w:styleId="BodyTextChar">
    <w:name w:val="Body Text Char"/>
    <w:link w:val="BodyText"/>
    <w:rsid w:val="0019511F"/>
    <w:rPr>
      <w:rFonts w:asciiTheme="minorHAnsi" w:hAnsiTheme="minorHAnsi" w:cstheme="minorHAnsi"/>
      <w:sz w:val="22"/>
      <w:szCs w:val="22"/>
      <w:lang w:eastAsia="ko-KR"/>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NormalWeb">
    <w:name w:val="Normal (Web)"/>
    <w:basedOn w:val="Normal"/>
    <w:uiPriority w:val="99"/>
    <w:unhideWhenUsed/>
    <w:rsid w:val="00DB4453"/>
    <w:pPr>
      <w:spacing w:before="100" w:beforeAutospacing="1" w:after="100" w:afterAutospacing="1"/>
    </w:pPr>
    <w:rPr>
      <w:rFonts w:ascii="Times New Roman" w:eastAsia="Times New Roman" w:hAnsi="Times New Roman" w:cs="Times New Roman"/>
      <w:sz w:val="24"/>
      <w:szCs w:val="24"/>
      <w:lang w:eastAsia="ko-KR"/>
    </w:rPr>
  </w:style>
  <w:style w:type="character" w:styleId="Emphasis">
    <w:name w:val="Emphasis"/>
    <w:basedOn w:val="DefaultParagraphFont"/>
    <w:uiPriority w:val="20"/>
    <w:qFormat/>
    <w:rsid w:val="0012231B"/>
    <w:rPr>
      <w:i/>
      <w:iCs/>
    </w:rPr>
  </w:style>
  <w:style w:type="character" w:styleId="Strong">
    <w:name w:val="Strong"/>
    <w:basedOn w:val="DefaultParagraphFont"/>
    <w:uiPriority w:val="22"/>
    <w:qFormat/>
    <w:rsid w:val="00726291"/>
    <w:rPr>
      <w:b/>
      <w:bCs/>
    </w:rPr>
  </w:style>
  <w:style w:type="paragraph" w:customStyle="1" w:styleId="Default">
    <w:name w:val="Default"/>
    <w:rsid w:val="00C6238B"/>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3B481D"/>
    <w:rPr>
      <w:color w:val="605E5C"/>
      <w:shd w:val="clear" w:color="auto" w:fill="E1DFDD"/>
    </w:rPr>
  </w:style>
  <w:style w:type="paragraph" w:customStyle="1" w:styleId="AnnexHead1">
    <w:name w:val="Annex Head 1"/>
    <w:basedOn w:val="Normal"/>
    <w:next w:val="Normal"/>
    <w:rsid w:val="00354ED3"/>
    <w:pPr>
      <w:numPr>
        <w:numId w:val="18"/>
      </w:numPr>
      <w:tabs>
        <w:tab w:val="clear" w:pos="849"/>
        <w:tab w:val="num" w:pos="360"/>
      </w:tabs>
      <w:spacing w:before="240" w:after="240" w:line="256" w:lineRule="auto"/>
      <w:ind w:left="567" w:hanging="567"/>
    </w:pPr>
    <w:rPr>
      <w:rFonts w:asciiTheme="minorHAnsi" w:eastAsiaTheme="minorHAnsi" w:hAnsiTheme="minorHAnsi" w:cstheme="minorBidi"/>
      <w:b/>
      <w:caps/>
      <w:sz w:val="24"/>
      <w:lang w:val="sv-SE" w:eastAsia="en-US"/>
    </w:rPr>
  </w:style>
  <w:style w:type="paragraph" w:customStyle="1" w:styleId="AnnexHead2">
    <w:name w:val="Annex Head 2"/>
    <w:basedOn w:val="Normal"/>
    <w:next w:val="Normal"/>
    <w:rsid w:val="00354ED3"/>
    <w:pPr>
      <w:numPr>
        <w:ilvl w:val="1"/>
        <w:numId w:val="18"/>
      </w:numPr>
      <w:spacing w:before="120" w:after="120" w:line="256" w:lineRule="auto"/>
    </w:pPr>
    <w:rPr>
      <w:rFonts w:asciiTheme="minorHAnsi" w:eastAsiaTheme="minorHAnsi" w:hAnsiTheme="minorHAnsi" w:cstheme="minorBidi"/>
      <w:b/>
      <w:sz w:val="24"/>
      <w:lang w:val="sv-SE" w:eastAsia="en-US"/>
    </w:rPr>
  </w:style>
  <w:style w:type="paragraph" w:customStyle="1" w:styleId="AnnexHead3">
    <w:name w:val="Annex Head 3"/>
    <w:basedOn w:val="Normal"/>
    <w:next w:val="Normal"/>
    <w:rsid w:val="00354ED3"/>
    <w:pPr>
      <w:numPr>
        <w:ilvl w:val="2"/>
        <w:numId w:val="18"/>
      </w:numPr>
      <w:spacing w:before="60" w:after="60" w:line="256" w:lineRule="auto"/>
    </w:pPr>
    <w:rPr>
      <w:rFonts w:asciiTheme="minorHAnsi" w:eastAsiaTheme="minorHAnsi" w:hAnsiTheme="minorHAnsi" w:cstheme="minorBidi"/>
      <w:b/>
      <w:lang w:val="sv-SE" w:eastAsia="en-US"/>
    </w:rPr>
  </w:style>
  <w:style w:type="paragraph" w:customStyle="1" w:styleId="AnnexHead4">
    <w:name w:val="Annex Head 4"/>
    <w:basedOn w:val="Normal"/>
    <w:next w:val="Normal"/>
    <w:rsid w:val="00354ED3"/>
    <w:pPr>
      <w:numPr>
        <w:ilvl w:val="3"/>
        <w:numId w:val="18"/>
      </w:numPr>
      <w:spacing w:after="120" w:line="256" w:lineRule="auto"/>
    </w:pPr>
    <w:rPr>
      <w:rFonts w:asciiTheme="minorHAnsi" w:eastAsiaTheme="minorHAnsi" w:hAnsiTheme="minorHAnsi" w:cstheme="minorBidi"/>
      <w:lang w:val="sv-SE" w:eastAsia="en-US"/>
    </w:rPr>
  </w:style>
  <w:style w:type="paragraph" w:styleId="Revision">
    <w:name w:val="Revision"/>
    <w:hidden/>
    <w:uiPriority w:val="99"/>
    <w:semiHidden/>
    <w:rsid w:val="00F24E96"/>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3758">
      <w:bodyDiv w:val="1"/>
      <w:marLeft w:val="0"/>
      <w:marRight w:val="0"/>
      <w:marTop w:val="0"/>
      <w:marBottom w:val="0"/>
      <w:divBdr>
        <w:top w:val="none" w:sz="0" w:space="0" w:color="auto"/>
        <w:left w:val="none" w:sz="0" w:space="0" w:color="auto"/>
        <w:bottom w:val="none" w:sz="0" w:space="0" w:color="auto"/>
        <w:right w:val="none" w:sz="0" w:space="0" w:color="auto"/>
      </w:divBdr>
    </w:div>
    <w:div w:id="63142587">
      <w:bodyDiv w:val="1"/>
      <w:marLeft w:val="0"/>
      <w:marRight w:val="0"/>
      <w:marTop w:val="0"/>
      <w:marBottom w:val="0"/>
      <w:divBdr>
        <w:top w:val="none" w:sz="0" w:space="0" w:color="auto"/>
        <w:left w:val="none" w:sz="0" w:space="0" w:color="auto"/>
        <w:bottom w:val="none" w:sz="0" w:space="0" w:color="auto"/>
        <w:right w:val="none" w:sz="0" w:space="0" w:color="auto"/>
      </w:divBdr>
    </w:div>
    <w:div w:id="181238837">
      <w:bodyDiv w:val="1"/>
      <w:marLeft w:val="0"/>
      <w:marRight w:val="0"/>
      <w:marTop w:val="0"/>
      <w:marBottom w:val="0"/>
      <w:divBdr>
        <w:top w:val="none" w:sz="0" w:space="0" w:color="auto"/>
        <w:left w:val="none" w:sz="0" w:space="0" w:color="auto"/>
        <w:bottom w:val="none" w:sz="0" w:space="0" w:color="auto"/>
        <w:right w:val="none" w:sz="0" w:space="0" w:color="auto"/>
      </w:divBdr>
    </w:div>
    <w:div w:id="197594505">
      <w:bodyDiv w:val="1"/>
      <w:marLeft w:val="0"/>
      <w:marRight w:val="0"/>
      <w:marTop w:val="0"/>
      <w:marBottom w:val="0"/>
      <w:divBdr>
        <w:top w:val="none" w:sz="0" w:space="0" w:color="auto"/>
        <w:left w:val="none" w:sz="0" w:space="0" w:color="auto"/>
        <w:bottom w:val="none" w:sz="0" w:space="0" w:color="auto"/>
        <w:right w:val="none" w:sz="0" w:space="0" w:color="auto"/>
      </w:divBdr>
    </w:div>
    <w:div w:id="236595374">
      <w:bodyDiv w:val="1"/>
      <w:marLeft w:val="0"/>
      <w:marRight w:val="0"/>
      <w:marTop w:val="0"/>
      <w:marBottom w:val="0"/>
      <w:divBdr>
        <w:top w:val="none" w:sz="0" w:space="0" w:color="auto"/>
        <w:left w:val="none" w:sz="0" w:space="0" w:color="auto"/>
        <w:bottom w:val="none" w:sz="0" w:space="0" w:color="auto"/>
        <w:right w:val="none" w:sz="0" w:space="0" w:color="auto"/>
      </w:divBdr>
    </w:div>
    <w:div w:id="244725947">
      <w:bodyDiv w:val="1"/>
      <w:marLeft w:val="0"/>
      <w:marRight w:val="0"/>
      <w:marTop w:val="0"/>
      <w:marBottom w:val="0"/>
      <w:divBdr>
        <w:top w:val="none" w:sz="0" w:space="0" w:color="auto"/>
        <w:left w:val="none" w:sz="0" w:space="0" w:color="auto"/>
        <w:bottom w:val="none" w:sz="0" w:space="0" w:color="auto"/>
        <w:right w:val="none" w:sz="0" w:space="0" w:color="auto"/>
      </w:divBdr>
    </w:div>
    <w:div w:id="281963119">
      <w:bodyDiv w:val="1"/>
      <w:marLeft w:val="0"/>
      <w:marRight w:val="0"/>
      <w:marTop w:val="0"/>
      <w:marBottom w:val="0"/>
      <w:divBdr>
        <w:top w:val="none" w:sz="0" w:space="0" w:color="auto"/>
        <w:left w:val="none" w:sz="0" w:space="0" w:color="auto"/>
        <w:bottom w:val="none" w:sz="0" w:space="0" w:color="auto"/>
        <w:right w:val="none" w:sz="0" w:space="0" w:color="auto"/>
      </w:divBdr>
    </w:div>
    <w:div w:id="305209174">
      <w:bodyDiv w:val="1"/>
      <w:marLeft w:val="0"/>
      <w:marRight w:val="0"/>
      <w:marTop w:val="0"/>
      <w:marBottom w:val="0"/>
      <w:divBdr>
        <w:top w:val="none" w:sz="0" w:space="0" w:color="auto"/>
        <w:left w:val="none" w:sz="0" w:space="0" w:color="auto"/>
        <w:bottom w:val="none" w:sz="0" w:space="0" w:color="auto"/>
        <w:right w:val="none" w:sz="0" w:space="0" w:color="auto"/>
      </w:divBdr>
    </w:div>
    <w:div w:id="317345772">
      <w:bodyDiv w:val="1"/>
      <w:marLeft w:val="0"/>
      <w:marRight w:val="0"/>
      <w:marTop w:val="0"/>
      <w:marBottom w:val="0"/>
      <w:divBdr>
        <w:top w:val="none" w:sz="0" w:space="0" w:color="auto"/>
        <w:left w:val="none" w:sz="0" w:space="0" w:color="auto"/>
        <w:bottom w:val="none" w:sz="0" w:space="0" w:color="auto"/>
        <w:right w:val="none" w:sz="0" w:space="0" w:color="auto"/>
      </w:divBdr>
    </w:div>
    <w:div w:id="318776726">
      <w:bodyDiv w:val="1"/>
      <w:marLeft w:val="0"/>
      <w:marRight w:val="0"/>
      <w:marTop w:val="0"/>
      <w:marBottom w:val="0"/>
      <w:divBdr>
        <w:top w:val="none" w:sz="0" w:space="0" w:color="auto"/>
        <w:left w:val="none" w:sz="0" w:space="0" w:color="auto"/>
        <w:bottom w:val="none" w:sz="0" w:space="0" w:color="auto"/>
        <w:right w:val="none" w:sz="0" w:space="0" w:color="auto"/>
      </w:divBdr>
    </w:div>
    <w:div w:id="322271780">
      <w:bodyDiv w:val="1"/>
      <w:marLeft w:val="0"/>
      <w:marRight w:val="0"/>
      <w:marTop w:val="0"/>
      <w:marBottom w:val="0"/>
      <w:divBdr>
        <w:top w:val="none" w:sz="0" w:space="0" w:color="auto"/>
        <w:left w:val="none" w:sz="0" w:space="0" w:color="auto"/>
        <w:bottom w:val="none" w:sz="0" w:space="0" w:color="auto"/>
        <w:right w:val="none" w:sz="0" w:space="0" w:color="auto"/>
      </w:divBdr>
    </w:div>
    <w:div w:id="489836414">
      <w:bodyDiv w:val="1"/>
      <w:marLeft w:val="0"/>
      <w:marRight w:val="0"/>
      <w:marTop w:val="0"/>
      <w:marBottom w:val="0"/>
      <w:divBdr>
        <w:top w:val="none" w:sz="0" w:space="0" w:color="auto"/>
        <w:left w:val="none" w:sz="0" w:space="0" w:color="auto"/>
        <w:bottom w:val="none" w:sz="0" w:space="0" w:color="auto"/>
        <w:right w:val="none" w:sz="0" w:space="0" w:color="auto"/>
      </w:divBdr>
    </w:div>
    <w:div w:id="490290154">
      <w:bodyDiv w:val="1"/>
      <w:marLeft w:val="0"/>
      <w:marRight w:val="0"/>
      <w:marTop w:val="0"/>
      <w:marBottom w:val="0"/>
      <w:divBdr>
        <w:top w:val="none" w:sz="0" w:space="0" w:color="auto"/>
        <w:left w:val="none" w:sz="0" w:space="0" w:color="auto"/>
        <w:bottom w:val="none" w:sz="0" w:space="0" w:color="auto"/>
        <w:right w:val="none" w:sz="0" w:space="0" w:color="auto"/>
      </w:divBdr>
    </w:div>
    <w:div w:id="599873509">
      <w:bodyDiv w:val="1"/>
      <w:marLeft w:val="0"/>
      <w:marRight w:val="0"/>
      <w:marTop w:val="0"/>
      <w:marBottom w:val="0"/>
      <w:divBdr>
        <w:top w:val="none" w:sz="0" w:space="0" w:color="auto"/>
        <w:left w:val="none" w:sz="0" w:space="0" w:color="auto"/>
        <w:bottom w:val="none" w:sz="0" w:space="0" w:color="auto"/>
        <w:right w:val="none" w:sz="0" w:space="0" w:color="auto"/>
      </w:divBdr>
    </w:div>
    <w:div w:id="689379016">
      <w:bodyDiv w:val="1"/>
      <w:marLeft w:val="0"/>
      <w:marRight w:val="0"/>
      <w:marTop w:val="0"/>
      <w:marBottom w:val="0"/>
      <w:divBdr>
        <w:top w:val="none" w:sz="0" w:space="0" w:color="auto"/>
        <w:left w:val="none" w:sz="0" w:space="0" w:color="auto"/>
        <w:bottom w:val="none" w:sz="0" w:space="0" w:color="auto"/>
        <w:right w:val="none" w:sz="0" w:space="0" w:color="auto"/>
      </w:divBdr>
    </w:div>
    <w:div w:id="737871190">
      <w:bodyDiv w:val="1"/>
      <w:marLeft w:val="0"/>
      <w:marRight w:val="0"/>
      <w:marTop w:val="0"/>
      <w:marBottom w:val="0"/>
      <w:divBdr>
        <w:top w:val="none" w:sz="0" w:space="0" w:color="auto"/>
        <w:left w:val="none" w:sz="0" w:space="0" w:color="auto"/>
        <w:bottom w:val="none" w:sz="0" w:space="0" w:color="auto"/>
        <w:right w:val="none" w:sz="0" w:space="0" w:color="auto"/>
      </w:divBdr>
    </w:div>
    <w:div w:id="760881200">
      <w:bodyDiv w:val="1"/>
      <w:marLeft w:val="0"/>
      <w:marRight w:val="0"/>
      <w:marTop w:val="0"/>
      <w:marBottom w:val="0"/>
      <w:divBdr>
        <w:top w:val="none" w:sz="0" w:space="0" w:color="auto"/>
        <w:left w:val="none" w:sz="0" w:space="0" w:color="auto"/>
        <w:bottom w:val="none" w:sz="0" w:space="0" w:color="auto"/>
        <w:right w:val="none" w:sz="0" w:space="0" w:color="auto"/>
      </w:divBdr>
    </w:div>
    <w:div w:id="785075497">
      <w:bodyDiv w:val="1"/>
      <w:marLeft w:val="0"/>
      <w:marRight w:val="0"/>
      <w:marTop w:val="0"/>
      <w:marBottom w:val="0"/>
      <w:divBdr>
        <w:top w:val="none" w:sz="0" w:space="0" w:color="auto"/>
        <w:left w:val="none" w:sz="0" w:space="0" w:color="auto"/>
        <w:bottom w:val="none" w:sz="0" w:space="0" w:color="auto"/>
        <w:right w:val="none" w:sz="0" w:space="0" w:color="auto"/>
      </w:divBdr>
    </w:div>
    <w:div w:id="794952839">
      <w:bodyDiv w:val="1"/>
      <w:marLeft w:val="0"/>
      <w:marRight w:val="0"/>
      <w:marTop w:val="0"/>
      <w:marBottom w:val="0"/>
      <w:divBdr>
        <w:top w:val="none" w:sz="0" w:space="0" w:color="auto"/>
        <w:left w:val="none" w:sz="0" w:space="0" w:color="auto"/>
        <w:bottom w:val="none" w:sz="0" w:space="0" w:color="auto"/>
        <w:right w:val="none" w:sz="0" w:space="0" w:color="auto"/>
      </w:divBdr>
    </w:div>
    <w:div w:id="871114815">
      <w:bodyDiv w:val="1"/>
      <w:marLeft w:val="0"/>
      <w:marRight w:val="0"/>
      <w:marTop w:val="0"/>
      <w:marBottom w:val="0"/>
      <w:divBdr>
        <w:top w:val="none" w:sz="0" w:space="0" w:color="auto"/>
        <w:left w:val="none" w:sz="0" w:space="0" w:color="auto"/>
        <w:bottom w:val="none" w:sz="0" w:space="0" w:color="auto"/>
        <w:right w:val="none" w:sz="0" w:space="0" w:color="auto"/>
      </w:divBdr>
    </w:div>
    <w:div w:id="907228211">
      <w:bodyDiv w:val="1"/>
      <w:marLeft w:val="0"/>
      <w:marRight w:val="0"/>
      <w:marTop w:val="0"/>
      <w:marBottom w:val="0"/>
      <w:divBdr>
        <w:top w:val="none" w:sz="0" w:space="0" w:color="auto"/>
        <w:left w:val="none" w:sz="0" w:space="0" w:color="auto"/>
        <w:bottom w:val="none" w:sz="0" w:space="0" w:color="auto"/>
        <w:right w:val="none" w:sz="0" w:space="0" w:color="auto"/>
      </w:divBdr>
    </w:div>
    <w:div w:id="942031748">
      <w:bodyDiv w:val="1"/>
      <w:marLeft w:val="0"/>
      <w:marRight w:val="0"/>
      <w:marTop w:val="0"/>
      <w:marBottom w:val="0"/>
      <w:divBdr>
        <w:top w:val="none" w:sz="0" w:space="0" w:color="auto"/>
        <w:left w:val="none" w:sz="0" w:space="0" w:color="auto"/>
        <w:bottom w:val="none" w:sz="0" w:space="0" w:color="auto"/>
        <w:right w:val="none" w:sz="0" w:space="0" w:color="auto"/>
      </w:divBdr>
    </w:div>
    <w:div w:id="950673108">
      <w:bodyDiv w:val="1"/>
      <w:marLeft w:val="0"/>
      <w:marRight w:val="0"/>
      <w:marTop w:val="0"/>
      <w:marBottom w:val="0"/>
      <w:divBdr>
        <w:top w:val="none" w:sz="0" w:space="0" w:color="auto"/>
        <w:left w:val="none" w:sz="0" w:space="0" w:color="auto"/>
        <w:bottom w:val="none" w:sz="0" w:space="0" w:color="auto"/>
        <w:right w:val="none" w:sz="0" w:space="0" w:color="auto"/>
      </w:divBdr>
    </w:div>
    <w:div w:id="951673203">
      <w:bodyDiv w:val="1"/>
      <w:marLeft w:val="0"/>
      <w:marRight w:val="0"/>
      <w:marTop w:val="0"/>
      <w:marBottom w:val="0"/>
      <w:divBdr>
        <w:top w:val="none" w:sz="0" w:space="0" w:color="auto"/>
        <w:left w:val="none" w:sz="0" w:space="0" w:color="auto"/>
        <w:bottom w:val="none" w:sz="0" w:space="0" w:color="auto"/>
        <w:right w:val="none" w:sz="0" w:space="0" w:color="auto"/>
      </w:divBdr>
    </w:div>
    <w:div w:id="1051687022">
      <w:bodyDiv w:val="1"/>
      <w:marLeft w:val="0"/>
      <w:marRight w:val="0"/>
      <w:marTop w:val="0"/>
      <w:marBottom w:val="0"/>
      <w:divBdr>
        <w:top w:val="none" w:sz="0" w:space="0" w:color="auto"/>
        <w:left w:val="none" w:sz="0" w:space="0" w:color="auto"/>
        <w:bottom w:val="none" w:sz="0" w:space="0" w:color="auto"/>
        <w:right w:val="none" w:sz="0" w:space="0" w:color="auto"/>
      </w:divBdr>
    </w:div>
    <w:div w:id="1066807720">
      <w:bodyDiv w:val="1"/>
      <w:marLeft w:val="0"/>
      <w:marRight w:val="0"/>
      <w:marTop w:val="0"/>
      <w:marBottom w:val="0"/>
      <w:divBdr>
        <w:top w:val="none" w:sz="0" w:space="0" w:color="auto"/>
        <w:left w:val="none" w:sz="0" w:space="0" w:color="auto"/>
        <w:bottom w:val="none" w:sz="0" w:space="0" w:color="auto"/>
        <w:right w:val="none" w:sz="0" w:space="0" w:color="auto"/>
      </w:divBdr>
    </w:div>
    <w:div w:id="1078015110">
      <w:bodyDiv w:val="1"/>
      <w:marLeft w:val="0"/>
      <w:marRight w:val="0"/>
      <w:marTop w:val="0"/>
      <w:marBottom w:val="0"/>
      <w:divBdr>
        <w:top w:val="none" w:sz="0" w:space="0" w:color="auto"/>
        <w:left w:val="none" w:sz="0" w:space="0" w:color="auto"/>
        <w:bottom w:val="none" w:sz="0" w:space="0" w:color="auto"/>
        <w:right w:val="none" w:sz="0" w:space="0" w:color="auto"/>
      </w:divBdr>
    </w:div>
    <w:div w:id="1166895633">
      <w:bodyDiv w:val="1"/>
      <w:marLeft w:val="0"/>
      <w:marRight w:val="0"/>
      <w:marTop w:val="0"/>
      <w:marBottom w:val="0"/>
      <w:divBdr>
        <w:top w:val="none" w:sz="0" w:space="0" w:color="auto"/>
        <w:left w:val="none" w:sz="0" w:space="0" w:color="auto"/>
        <w:bottom w:val="none" w:sz="0" w:space="0" w:color="auto"/>
        <w:right w:val="none" w:sz="0" w:space="0" w:color="auto"/>
      </w:divBdr>
    </w:div>
    <w:div w:id="1193610552">
      <w:bodyDiv w:val="1"/>
      <w:marLeft w:val="0"/>
      <w:marRight w:val="0"/>
      <w:marTop w:val="0"/>
      <w:marBottom w:val="0"/>
      <w:divBdr>
        <w:top w:val="none" w:sz="0" w:space="0" w:color="auto"/>
        <w:left w:val="none" w:sz="0" w:space="0" w:color="auto"/>
        <w:bottom w:val="none" w:sz="0" w:space="0" w:color="auto"/>
        <w:right w:val="none" w:sz="0" w:space="0" w:color="auto"/>
      </w:divBdr>
    </w:div>
    <w:div w:id="1222520429">
      <w:bodyDiv w:val="1"/>
      <w:marLeft w:val="0"/>
      <w:marRight w:val="0"/>
      <w:marTop w:val="0"/>
      <w:marBottom w:val="0"/>
      <w:divBdr>
        <w:top w:val="none" w:sz="0" w:space="0" w:color="auto"/>
        <w:left w:val="none" w:sz="0" w:space="0" w:color="auto"/>
        <w:bottom w:val="none" w:sz="0" w:space="0" w:color="auto"/>
        <w:right w:val="none" w:sz="0" w:space="0" w:color="auto"/>
      </w:divBdr>
    </w:div>
    <w:div w:id="1263298283">
      <w:bodyDiv w:val="1"/>
      <w:marLeft w:val="0"/>
      <w:marRight w:val="0"/>
      <w:marTop w:val="0"/>
      <w:marBottom w:val="0"/>
      <w:divBdr>
        <w:top w:val="none" w:sz="0" w:space="0" w:color="auto"/>
        <w:left w:val="none" w:sz="0" w:space="0" w:color="auto"/>
        <w:bottom w:val="none" w:sz="0" w:space="0" w:color="auto"/>
        <w:right w:val="none" w:sz="0" w:space="0" w:color="auto"/>
      </w:divBdr>
    </w:div>
    <w:div w:id="1287661264">
      <w:bodyDiv w:val="1"/>
      <w:marLeft w:val="0"/>
      <w:marRight w:val="0"/>
      <w:marTop w:val="0"/>
      <w:marBottom w:val="0"/>
      <w:divBdr>
        <w:top w:val="none" w:sz="0" w:space="0" w:color="auto"/>
        <w:left w:val="none" w:sz="0" w:space="0" w:color="auto"/>
        <w:bottom w:val="none" w:sz="0" w:space="0" w:color="auto"/>
        <w:right w:val="none" w:sz="0" w:space="0" w:color="auto"/>
      </w:divBdr>
    </w:div>
    <w:div w:id="1303273092">
      <w:bodyDiv w:val="1"/>
      <w:marLeft w:val="0"/>
      <w:marRight w:val="0"/>
      <w:marTop w:val="0"/>
      <w:marBottom w:val="0"/>
      <w:divBdr>
        <w:top w:val="none" w:sz="0" w:space="0" w:color="auto"/>
        <w:left w:val="none" w:sz="0" w:space="0" w:color="auto"/>
        <w:bottom w:val="none" w:sz="0" w:space="0" w:color="auto"/>
        <w:right w:val="none" w:sz="0" w:space="0" w:color="auto"/>
      </w:divBdr>
    </w:div>
    <w:div w:id="1336809200">
      <w:bodyDiv w:val="1"/>
      <w:marLeft w:val="0"/>
      <w:marRight w:val="0"/>
      <w:marTop w:val="0"/>
      <w:marBottom w:val="0"/>
      <w:divBdr>
        <w:top w:val="none" w:sz="0" w:space="0" w:color="auto"/>
        <w:left w:val="none" w:sz="0" w:space="0" w:color="auto"/>
        <w:bottom w:val="none" w:sz="0" w:space="0" w:color="auto"/>
        <w:right w:val="none" w:sz="0" w:space="0" w:color="auto"/>
      </w:divBdr>
    </w:div>
    <w:div w:id="1354182772">
      <w:bodyDiv w:val="1"/>
      <w:marLeft w:val="0"/>
      <w:marRight w:val="0"/>
      <w:marTop w:val="0"/>
      <w:marBottom w:val="0"/>
      <w:divBdr>
        <w:top w:val="none" w:sz="0" w:space="0" w:color="auto"/>
        <w:left w:val="none" w:sz="0" w:space="0" w:color="auto"/>
        <w:bottom w:val="none" w:sz="0" w:space="0" w:color="auto"/>
        <w:right w:val="none" w:sz="0" w:space="0" w:color="auto"/>
      </w:divBdr>
    </w:div>
    <w:div w:id="1415009141">
      <w:bodyDiv w:val="1"/>
      <w:marLeft w:val="0"/>
      <w:marRight w:val="0"/>
      <w:marTop w:val="0"/>
      <w:marBottom w:val="0"/>
      <w:divBdr>
        <w:top w:val="none" w:sz="0" w:space="0" w:color="auto"/>
        <w:left w:val="none" w:sz="0" w:space="0" w:color="auto"/>
        <w:bottom w:val="none" w:sz="0" w:space="0" w:color="auto"/>
        <w:right w:val="none" w:sz="0" w:space="0" w:color="auto"/>
      </w:divBdr>
    </w:div>
    <w:div w:id="1469782933">
      <w:bodyDiv w:val="1"/>
      <w:marLeft w:val="0"/>
      <w:marRight w:val="0"/>
      <w:marTop w:val="0"/>
      <w:marBottom w:val="0"/>
      <w:divBdr>
        <w:top w:val="none" w:sz="0" w:space="0" w:color="auto"/>
        <w:left w:val="none" w:sz="0" w:space="0" w:color="auto"/>
        <w:bottom w:val="none" w:sz="0" w:space="0" w:color="auto"/>
        <w:right w:val="none" w:sz="0" w:space="0" w:color="auto"/>
      </w:divBdr>
    </w:div>
    <w:div w:id="1590696283">
      <w:bodyDiv w:val="1"/>
      <w:marLeft w:val="0"/>
      <w:marRight w:val="0"/>
      <w:marTop w:val="0"/>
      <w:marBottom w:val="0"/>
      <w:divBdr>
        <w:top w:val="none" w:sz="0" w:space="0" w:color="auto"/>
        <w:left w:val="none" w:sz="0" w:space="0" w:color="auto"/>
        <w:bottom w:val="none" w:sz="0" w:space="0" w:color="auto"/>
        <w:right w:val="none" w:sz="0" w:space="0" w:color="auto"/>
      </w:divBdr>
    </w:div>
    <w:div w:id="1598715466">
      <w:bodyDiv w:val="1"/>
      <w:marLeft w:val="0"/>
      <w:marRight w:val="0"/>
      <w:marTop w:val="0"/>
      <w:marBottom w:val="0"/>
      <w:divBdr>
        <w:top w:val="none" w:sz="0" w:space="0" w:color="auto"/>
        <w:left w:val="none" w:sz="0" w:space="0" w:color="auto"/>
        <w:bottom w:val="none" w:sz="0" w:space="0" w:color="auto"/>
        <w:right w:val="none" w:sz="0" w:space="0" w:color="auto"/>
      </w:divBdr>
    </w:div>
    <w:div w:id="1618174080">
      <w:bodyDiv w:val="1"/>
      <w:marLeft w:val="0"/>
      <w:marRight w:val="0"/>
      <w:marTop w:val="0"/>
      <w:marBottom w:val="0"/>
      <w:divBdr>
        <w:top w:val="none" w:sz="0" w:space="0" w:color="auto"/>
        <w:left w:val="none" w:sz="0" w:space="0" w:color="auto"/>
        <w:bottom w:val="none" w:sz="0" w:space="0" w:color="auto"/>
        <w:right w:val="none" w:sz="0" w:space="0" w:color="auto"/>
      </w:divBdr>
    </w:div>
    <w:div w:id="1679650555">
      <w:bodyDiv w:val="1"/>
      <w:marLeft w:val="0"/>
      <w:marRight w:val="0"/>
      <w:marTop w:val="0"/>
      <w:marBottom w:val="0"/>
      <w:divBdr>
        <w:top w:val="none" w:sz="0" w:space="0" w:color="auto"/>
        <w:left w:val="none" w:sz="0" w:space="0" w:color="auto"/>
        <w:bottom w:val="none" w:sz="0" w:space="0" w:color="auto"/>
        <w:right w:val="none" w:sz="0" w:space="0" w:color="auto"/>
      </w:divBdr>
    </w:div>
    <w:div w:id="1692489475">
      <w:bodyDiv w:val="1"/>
      <w:marLeft w:val="0"/>
      <w:marRight w:val="0"/>
      <w:marTop w:val="0"/>
      <w:marBottom w:val="0"/>
      <w:divBdr>
        <w:top w:val="none" w:sz="0" w:space="0" w:color="auto"/>
        <w:left w:val="none" w:sz="0" w:space="0" w:color="auto"/>
        <w:bottom w:val="none" w:sz="0" w:space="0" w:color="auto"/>
        <w:right w:val="none" w:sz="0" w:space="0" w:color="auto"/>
      </w:divBdr>
    </w:div>
    <w:div w:id="1703162813">
      <w:bodyDiv w:val="1"/>
      <w:marLeft w:val="0"/>
      <w:marRight w:val="0"/>
      <w:marTop w:val="0"/>
      <w:marBottom w:val="0"/>
      <w:divBdr>
        <w:top w:val="none" w:sz="0" w:space="0" w:color="auto"/>
        <w:left w:val="none" w:sz="0" w:space="0" w:color="auto"/>
        <w:bottom w:val="none" w:sz="0" w:space="0" w:color="auto"/>
        <w:right w:val="none" w:sz="0" w:space="0" w:color="auto"/>
      </w:divBdr>
    </w:div>
    <w:div w:id="1800955468">
      <w:bodyDiv w:val="1"/>
      <w:marLeft w:val="0"/>
      <w:marRight w:val="0"/>
      <w:marTop w:val="0"/>
      <w:marBottom w:val="0"/>
      <w:divBdr>
        <w:top w:val="none" w:sz="0" w:space="0" w:color="auto"/>
        <w:left w:val="none" w:sz="0" w:space="0" w:color="auto"/>
        <w:bottom w:val="none" w:sz="0" w:space="0" w:color="auto"/>
        <w:right w:val="none" w:sz="0" w:space="0" w:color="auto"/>
      </w:divBdr>
    </w:div>
    <w:div w:id="1825387330">
      <w:bodyDiv w:val="1"/>
      <w:marLeft w:val="0"/>
      <w:marRight w:val="0"/>
      <w:marTop w:val="0"/>
      <w:marBottom w:val="0"/>
      <w:divBdr>
        <w:top w:val="none" w:sz="0" w:space="0" w:color="auto"/>
        <w:left w:val="none" w:sz="0" w:space="0" w:color="auto"/>
        <w:bottom w:val="none" w:sz="0" w:space="0" w:color="auto"/>
        <w:right w:val="none" w:sz="0" w:space="0" w:color="auto"/>
      </w:divBdr>
    </w:div>
    <w:div w:id="1877572974">
      <w:bodyDiv w:val="1"/>
      <w:marLeft w:val="0"/>
      <w:marRight w:val="0"/>
      <w:marTop w:val="0"/>
      <w:marBottom w:val="0"/>
      <w:divBdr>
        <w:top w:val="none" w:sz="0" w:space="0" w:color="auto"/>
        <w:left w:val="none" w:sz="0" w:space="0" w:color="auto"/>
        <w:bottom w:val="none" w:sz="0" w:space="0" w:color="auto"/>
        <w:right w:val="none" w:sz="0" w:space="0" w:color="auto"/>
      </w:divBdr>
    </w:div>
    <w:div w:id="1932934263">
      <w:bodyDiv w:val="1"/>
      <w:marLeft w:val="0"/>
      <w:marRight w:val="0"/>
      <w:marTop w:val="0"/>
      <w:marBottom w:val="0"/>
      <w:divBdr>
        <w:top w:val="none" w:sz="0" w:space="0" w:color="auto"/>
        <w:left w:val="none" w:sz="0" w:space="0" w:color="auto"/>
        <w:bottom w:val="none" w:sz="0" w:space="0" w:color="auto"/>
        <w:right w:val="none" w:sz="0" w:space="0" w:color="auto"/>
      </w:divBdr>
    </w:div>
    <w:div w:id="1940870750">
      <w:bodyDiv w:val="1"/>
      <w:marLeft w:val="0"/>
      <w:marRight w:val="0"/>
      <w:marTop w:val="0"/>
      <w:marBottom w:val="0"/>
      <w:divBdr>
        <w:top w:val="none" w:sz="0" w:space="0" w:color="auto"/>
        <w:left w:val="none" w:sz="0" w:space="0" w:color="auto"/>
        <w:bottom w:val="none" w:sz="0" w:space="0" w:color="auto"/>
        <w:right w:val="none" w:sz="0" w:space="0" w:color="auto"/>
      </w:divBdr>
    </w:div>
    <w:div w:id="1972250002">
      <w:bodyDiv w:val="1"/>
      <w:marLeft w:val="0"/>
      <w:marRight w:val="0"/>
      <w:marTop w:val="0"/>
      <w:marBottom w:val="0"/>
      <w:divBdr>
        <w:top w:val="none" w:sz="0" w:space="0" w:color="auto"/>
        <w:left w:val="none" w:sz="0" w:space="0" w:color="auto"/>
        <w:bottom w:val="none" w:sz="0" w:space="0" w:color="auto"/>
        <w:right w:val="none" w:sz="0" w:space="0" w:color="auto"/>
      </w:divBdr>
    </w:div>
    <w:div w:id="1997148374">
      <w:bodyDiv w:val="1"/>
      <w:marLeft w:val="0"/>
      <w:marRight w:val="0"/>
      <w:marTop w:val="0"/>
      <w:marBottom w:val="0"/>
      <w:divBdr>
        <w:top w:val="none" w:sz="0" w:space="0" w:color="auto"/>
        <w:left w:val="none" w:sz="0" w:space="0" w:color="auto"/>
        <w:bottom w:val="none" w:sz="0" w:space="0" w:color="auto"/>
        <w:right w:val="none" w:sz="0" w:space="0" w:color="auto"/>
      </w:divBdr>
    </w:div>
    <w:div w:id="2033071686">
      <w:bodyDiv w:val="1"/>
      <w:marLeft w:val="0"/>
      <w:marRight w:val="0"/>
      <w:marTop w:val="0"/>
      <w:marBottom w:val="0"/>
      <w:divBdr>
        <w:top w:val="none" w:sz="0" w:space="0" w:color="auto"/>
        <w:left w:val="none" w:sz="0" w:space="0" w:color="auto"/>
        <w:bottom w:val="none" w:sz="0" w:space="0" w:color="auto"/>
        <w:right w:val="none" w:sz="0" w:space="0" w:color="auto"/>
      </w:divBdr>
    </w:div>
    <w:div w:id="20442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D9087-C400-4261-AFD4-883301EC8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FEF68F-3BBF-4102-95A9-D897E0DC851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FBD5D004-0F54-462F-8EC6-6F32BB74DEDC}">
  <ds:schemaRefs>
    <ds:schemaRef ds:uri="http://schemas.microsoft.com/sharepoint/v3/contenttype/forms"/>
  </ds:schemaRefs>
</ds:datastoreItem>
</file>

<file path=customXml/itemProps4.xml><?xml version="1.0" encoding="utf-8"?>
<ds:datastoreItem xmlns:ds="http://schemas.openxmlformats.org/officeDocument/2006/customXml" ds:itemID="{67B46AEA-873E-4805-86B2-11DCF0F06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2885</Words>
  <Characters>17172</Characters>
  <Application>Microsoft Office Word</Application>
  <DocSecurity>0</DocSecurity>
  <Lines>903</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Minsu JEON Jeon</dc:creator>
  <cp:lastModifiedBy>Alisa Nechyporuk</cp:lastModifiedBy>
  <cp:revision>6</cp:revision>
  <dcterms:created xsi:type="dcterms:W3CDTF">2026-02-11T16:22:00Z</dcterms:created>
  <dcterms:modified xsi:type="dcterms:W3CDTF">2026-03-05T13:51:00Z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GrammarlyDocumentId">
    <vt:lpwstr>599d2abd-ef8d-49f1-a474-62d0ff0e1be9</vt:lpwstr>
  </property>
  <property fmtid="{D5CDD505-2E9C-101B-9397-08002B2CF9AE}" pid="5" name="MediaServiceImageTags">
    <vt:lpwstr/>
  </property>
</Properties>
</file>